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after="12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Таблицы / Tables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/>
          <w:sz w:val="28"/>
        </w:rPr>
        <w:t>Таблица 1. Дизайн сравнительного анализа.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sz w:val="22"/>
              </w:rPr>
              <w:t>Параметр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sz w:val="22"/>
              </w:rPr>
              <w:t>Группа I: метастатическая НМРЛ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sz w:val="22"/>
              </w:rPr>
              <w:t>Группа II: ранняя НМРЛ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Число пациентов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41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41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Стадия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IV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I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Дифференцировка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G3-G4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G1-G3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Метастазы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печень, кости, головной мозг, надпочечники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не выявлены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CTC/ctDNA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определяются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не определяются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Основной вопрос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системный профиль прогрессирования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контроль ранней стадии</w:t>
            </w:r>
          </w:p>
        </w:tc>
      </w:tr>
    </w:tbl>
    <w:p>
      <w:pPr>
        <w:spacing w:line="240" w:lineRule="auto" w:after="120"/>
      </w:pPr>
      <w:r>
        <w:rPr>
          <w:rFonts w:ascii="Times New Roman" w:hAnsi="Times New Roman" w:eastAsia="Times New Roman"/>
          <w:b w:val="0"/>
          <w:i/>
          <w:sz w:val="28"/>
        </w:rPr>
        <w:t>Таблица 2. Интегрированные изменения маркеров при метастатической аденокарциноме НМРЛ.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sz w:val="22"/>
              </w:rPr>
              <w:t>Категория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sz w:val="22"/>
              </w:rPr>
              <w:t>Маркер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sz w:val="22"/>
              </w:rPr>
              <w:t>Изменение в метастатической группе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Воспаление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TNF-α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+70,0%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Воспаление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IL-6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+49,0%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Воспаление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IL-1β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+29,0%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Воспаление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SAA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+27,0%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Воспаление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CRP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+20,0%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Воспаление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ESR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+19,0%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Воспаление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Лейкоциты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+12,9%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Воспаление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Ферритин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+11,0%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Нейроэндокринный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Мелатонин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-90,0%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Нейроэндокринный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Дофамин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-90,0%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Нейроэндокринный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Кортизол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+21,7%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Нейроэндокринный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Гистамин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+17,7%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Нейроэндокринный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Серотонин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+11,2%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Нейроэндокринный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Норадреналин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+9,8%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Нейроэндокринный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Адреналин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+2,5%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Опухолевый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CTC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+87,1%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Опухолевый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ctDNA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+84,3%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Опухолевый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CEA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+29,5%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Опухолевый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CYFRA 21-1</w:t>
            </w:r>
          </w:p>
        </w:tc>
        <w:tc>
          <w:tcPr>
            <w:tcW w:type="dxa" w:w="3324"/>
            <w:vAlign w:val="center"/>
          </w:tcPr>
          <w:p>
            <w:pPr>
              <w:spacing w:after="0" w:line="240" w:lineRule="auto"/>
            </w:pPr>
            <w:r>
              <w:rPr>
                <w:rFonts w:ascii="Times New Roman" w:hAnsi="Times New Roman" w:eastAsia="Times New Roman"/>
                <w:sz w:val="22"/>
              </w:rPr>
              <w:t>+19,0%</w:t>
            </w:r>
          </w:p>
        </w:tc>
      </w:tr>
    </w:tbl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