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12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Названия рисунков / Figure legends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/>
          <w:sz w:val="28"/>
        </w:rPr>
        <w:t>Рисунок 1. Сводные процентные изменения воспалительных, нейроэндокринных и опухолевых маркеров при метастатической аденокарциноме НМРЛ.</w:t>
      </w:r>
    </w:p>
    <w:p>
      <w:pPr>
        <w:spacing w:line="240" w:lineRule="auto" w:after="120"/>
      </w:pPr>
      <w:r>
        <w:rPr>
          <w:rFonts w:ascii="Times New Roman" w:hAnsi="Times New Roman" w:eastAsia="Times New Roman"/>
          <w:b w:val="0"/>
          <w:i/>
          <w:sz w:val="28"/>
        </w:rPr>
        <w:t>Figure 1. Summary percentage changes in inflammatory, neuroendocrine and tumor-associated markers in metastatic lung adenocarcinoma compared with early-stage disease.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