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DC3" w:rsidRDefault="00583DC3" w:rsidP="00583DC3">
      <w:pPr>
        <w:pStyle w:val="aa"/>
        <w:keepNext/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  <w:r w:rsidRPr="00583DC3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 xml:space="preserve">Таблица </w:t>
      </w:r>
      <w:r w:rsidRPr="00583DC3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fldChar w:fldCharType="begin"/>
      </w:r>
      <w:r w:rsidRPr="00583DC3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instrText xml:space="preserve"> SEQ Таблица \* ARABIC </w:instrText>
      </w:r>
      <w:r w:rsidRPr="00583DC3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fldChar w:fldCharType="separate"/>
      </w:r>
      <w:r w:rsidRPr="00583DC3">
        <w:rPr>
          <w:rFonts w:ascii="Times New Roman" w:hAnsi="Times New Roman" w:cs="Times New Roman"/>
          <w:i w:val="0"/>
          <w:noProof/>
          <w:color w:val="000000" w:themeColor="text1"/>
          <w:sz w:val="24"/>
          <w:szCs w:val="24"/>
        </w:rPr>
        <w:t>1</w:t>
      </w:r>
      <w:r w:rsidRPr="00583DC3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fldChar w:fldCharType="end"/>
      </w:r>
      <w:r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 xml:space="preserve">. </w:t>
      </w:r>
      <w:r w:rsidRPr="00583DC3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>Сравнительная характеристика вакцин против ВПЧ</w:t>
      </w:r>
      <w:r w:rsidR="00B364B3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br/>
      </w:r>
      <w:r w:rsidR="00B364B3" w:rsidRPr="00B364B3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>Table 1. Comparative characteristics of HPV vaccines</w:t>
      </w:r>
    </w:p>
    <w:p w:rsidR="00B364B3" w:rsidRPr="00B364B3" w:rsidRDefault="00B364B3" w:rsidP="00B364B3"/>
    <w:tbl>
      <w:tblPr>
        <w:tblStyle w:val="a5"/>
        <w:tblpPr w:leftFromText="180" w:rightFromText="180" w:horzAnchor="margin" w:tblpY="600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83DC3" w:rsidTr="00583DC3">
        <w:tc>
          <w:tcPr>
            <w:tcW w:w="2336" w:type="dxa"/>
            <w:shd w:val="clear" w:color="auto" w:fill="FFFFFF"/>
            <w:vAlign w:val="center"/>
          </w:tcPr>
          <w:p w:rsidR="00B364B3" w:rsidRPr="00B364B3" w:rsidRDefault="00583DC3" w:rsidP="00B364B3">
            <w:pPr>
              <w:spacing w:line="375" w:lineRule="atLeast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583DC3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Характеристика</w:t>
            </w:r>
          </w:p>
          <w:p w:rsidR="00583DC3" w:rsidRPr="00583DC3" w:rsidRDefault="00B364B3" w:rsidP="00B364B3">
            <w:pPr>
              <w:spacing w:line="375" w:lineRule="atLeast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B364B3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Characteristic</w:t>
            </w:r>
          </w:p>
        </w:tc>
        <w:tc>
          <w:tcPr>
            <w:tcW w:w="2336" w:type="dxa"/>
            <w:shd w:val="clear" w:color="auto" w:fill="FFFFFF"/>
            <w:vAlign w:val="center"/>
          </w:tcPr>
          <w:p w:rsidR="00583DC3" w:rsidRPr="00583DC3" w:rsidRDefault="00583DC3" w:rsidP="00583DC3">
            <w:pPr>
              <w:spacing w:line="375" w:lineRule="atLeast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583DC3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Церварикс (2vHPV)</w:t>
            </w:r>
            <w:r w:rsidR="00B364B3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</w:r>
            <w:r w:rsidR="00B364B3" w:rsidRPr="00B364B3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Cervarix (2vHPV)</w:t>
            </w:r>
          </w:p>
        </w:tc>
        <w:tc>
          <w:tcPr>
            <w:tcW w:w="2336" w:type="dxa"/>
            <w:shd w:val="clear" w:color="auto" w:fill="FFFFFF"/>
            <w:vAlign w:val="center"/>
          </w:tcPr>
          <w:p w:rsidR="00583DC3" w:rsidRPr="00583DC3" w:rsidRDefault="00583DC3" w:rsidP="00583DC3">
            <w:pPr>
              <w:spacing w:line="375" w:lineRule="atLeast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583DC3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Гардасил-4 (4vHPV)</w:t>
            </w:r>
            <w:r w:rsidR="00B364B3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</w:r>
            <w:r w:rsidR="00B364B3" w:rsidRPr="00B364B3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Gardasil-4 (4vHPV)</w:t>
            </w:r>
          </w:p>
        </w:tc>
        <w:tc>
          <w:tcPr>
            <w:tcW w:w="2337" w:type="dxa"/>
            <w:shd w:val="clear" w:color="auto" w:fill="FFFFFF"/>
            <w:vAlign w:val="center"/>
          </w:tcPr>
          <w:p w:rsidR="00583DC3" w:rsidRPr="00583DC3" w:rsidRDefault="00583DC3" w:rsidP="00583DC3">
            <w:pPr>
              <w:spacing w:line="375" w:lineRule="atLeast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583DC3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Гардасил-9 (9vHPV)</w:t>
            </w:r>
            <w:r w:rsidR="001446FF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</w:r>
            <w:r w:rsidR="001446FF" w:rsidRPr="001446FF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Gardasil-9 (9vHPV)</w:t>
            </w:r>
          </w:p>
        </w:tc>
      </w:tr>
      <w:tr w:rsidR="00583DC3" w:rsidTr="00583DC3">
        <w:tc>
          <w:tcPr>
            <w:tcW w:w="2336" w:type="dxa"/>
            <w:shd w:val="clear" w:color="auto" w:fill="FFFFFF"/>
            <w:vAlign w:val="center"/>
          </w:tcPr>
          <w:p w:rsidR="00583DC3" w:rsidRDefault="00583DC3" w:rsidP="00583DC3">
            <w:pPr>
              <w:spacing w:line="375" w:lineRule="atLeast"/>
              <w:rPr>
                <w:rStyle w:val="ab"/>
                <w:rFonts w:ascii="Times New Roman" w:hAnsi="Times New Roman" w:cs="Times New Roman"/>
                <w:b w:val="0"/>
                <w:color w:val="0F1115"/>
                <w:sz w:val="24"/>
                <w:szCs w:val="24"/>
              </w:rPr>
            </w:pPr>
            <w:r w:rsidRPr="00583DC3">
              <w:rPr>
                <w:rStyle w:val="ab"/>
                <w:rFonts w:ascii="Times New Roman" w:hAnsi="Times New Roman" w:cs="Times New Roman"/>
                <w:b w:val="0"/>
                <w:color w:val="0F1115"/>
                <w:sz w:val="24"/>
                <w:szCs w:val="24"/>
              </w:rPr>
              <w:t>Валентность</w:t>
            </w:r>
          </w:p>
          <w:p w:rsidR="00B364B3" w:rsidRPr="00583DC3" w:rsidRDefault="00B364B3" w:rsidP="00583DC3">
            <w:pPr>
              <w:spacing w:line="375" w:lineRule="atLeast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B364B3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Valency</w:t>
            </w:r>
          </w:p>
        </w:tc>
        <w:tc>
          <w:tcPr>
            <w:tcW w:w="2336" w:type="dxa"/>
            <w:shd w:val="clear" w:color="auto" w:fill="FFFFFF"/>
            <w:vAlign w:val="center"/>
          </w:tcPr>
          <w:p w:rsidR="00583DC3" w:rsidRPr="00583DC3" w:rsidRDefault="00583DC3" w:rsidP="00583DC3">
            <w:pPr>
              <w:spacing w:line="375" w:lineRule="atLeast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583DC3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Бивалентная</w:t>
            </w:r>
            <w:r w:rsidR="00B364B3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</w:r>
            <w:r w:rsidR="00B364B3" w:rsidRPr="00B364B3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Bivalent</w:t>
            </w:r>
          </w:p>
        </w:tc>
        <w:tc>
          <w:tcPr>
            <w:tcW w:w="2336" w:type="dxa"/>
            <w:shd w:val="clear" w:color="auto" w:fill="FFFFFF"/>
            <w:vAlign w:val="center"/>
          </w:tcPr>
          <w:p w:rsidR="00583DC3" w:rsidRPr="00583DC3" w:rsidRDefault="00583DC3" w:rsidP="00583DC3">
            <w:pPr>
              <w:spacing w:line="375" w:lineRule="atLeast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583DC3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Квадривалентная</w:t>
            </w:r>
            <w:r w:rsidR="001446FF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</w:r>
            <w:r w:rsidR="001446FF" w:rsidRPr="001446FF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Quadrivalent</w:t>
            </w:r>
          </w:p>
        </w:tc>
        <w:tc>
          <w:tcPr>
            <w:tcW w:w="2337" w:type="dxa"/>
            <w:shd w:val="clear" w:color="auto" w:fill="FFFFFF"/>
            <w:vAlign w:val="center"/>
          </w:tcPr>
          <w:p w:rsidR="00583DC3" w:rsidRDefault="00583DC3" w:rsidP="00583DC3">
            <w:pPr>
              <w:spacing w:line="375" w:lineRule="atLeast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583DC3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Новалентная</w:t>
            </w:r>
          </w:p>
          <w:p w:rsidR="001446FF" w:rsidRPr="00583DC3" w:rsidRDefault="001446FF" w:rsidP="00583DC3">
            <w:pPr>
              <w:spacing w:line="375" w:lineRule="atLeast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1446FF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Nonavalent</w:t>
            </w:r>
          </w:p>
        </w:tc>
      </w:tr>
      <w:tr w:rsidR="00583DC3" w:rsidTr="00583DC3">
        <w:tc>
          <w:tcPr>
            <w:tcW w:w="2336" w:type="dxa"/>
            <w:shd w:val="clear" w:color="auto" w:fill="FFFFFF"/>
            <w:vAlign w:val="center"/>
          </w:tcPr>
          <w:p w:rsidR="00583DC3" w:rsidRPr="00583DC3" w:rsidRDefault="00583DC3" w:rsidP="00583DC3">
            <w:pPr>
              <w:spacing w:line="375" w:lineRule="atLeast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583DC3">
              <w:rPr>
                <w:rStyle w:val="ab"/>
                <w:rFonts w:ascii="Times New Roman" w:hAnsi="Times New Roman" w:cs="Times New Roman"/>
                <w:b w:val="0"/>
                <w:color w:val="0F1115"/>
                <w:sz w:val="24"/>
                <w:szCs w:val="24"/>
              </w:rPr>
              <w:t>Целевые типы ВПЧ</w:t>
            </w:r>
            <w:r w:rsidR="00B364B3">
              <w:rPr>
                <w:rStyle w:val="ab"/>
                <w:rFonts w:ascii="Times New Roman" w:hAnsi="Times New Roman" w:cs="Times New Roman"/>
                <w:b w:val="0"/>
                <w:color w:val="0F1115"/>
                <w:sz w:val="24"/>
                <w:szCs w:val="24"/>
              </w:rPr>
              <w:br/>
            </w:r>
            <w:r w:rsidR="00B364B3" w:rsidRPr="00B364B3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Target HPV Types</w:t>
            </w:r>
          </w:p>
        </w:tc>
        <w:tc>
          <w:tcPr>
            <w:tcW w:w="2336" w:type="dxa"/>
            <w:shd w:val="clear" w:color="auto" w:fill="FFFFFF"/>
            <w:vAlign w:val="center"/>
          </w:tcPr>
          <w:p w:rsidR="00583DC3" w:rsidRPr="00583DC3" w:rsidRDefault="00583DC3" w:rsidP="00583DC3">
            <w:pPr>
              <w:spacing w:line="375" w:lineRule="atLeast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583DC3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16, 18</w:t>
            </w:r>
          </w:p>
        </w:tc>
        <w:tc>
          <w:tcPr>
            <w:tcW w:w="2336" w:type="dxa"/>
            <w:shd w:val="clear" w:color="auto" w:fill="FFFFFF"/>
            <w:vAlign w:val="center"/>
          </w:tcPr>
          <w:p w:rsidR="00583DC3" w:rsidRPr="00583DC3" w:rsidRDefault="00583DC3" w:rsidP="00583DC3">
            <w:pPr>
              <w:spacing w:line="375" w:lineRule="atLeast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583DC3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6, 11, 16, 18</w:t>
            </w:r>
          </w:p>
        </w:tc>
        <w:tc>
          <w:tcPr>
            <w:tcW w:w="2337" w:type="dxa"/>
            <w:shd w:val="clear" w:color="auto" w:fill="FFFFFF"/>
            <w:vAlign w:val="center"/>
          </w:tcPr>
          <w:p w:rsidR="00583DC3" w:rsidRPr="00583DC3" w:rsidRDefault="00583DC3" w:rsidP="00583DC3">
            <w:pPr>
              <w:spacing w:line="375" w:lineRule="atLeast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583DC3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6, 11, 16, 18, 31, 33, 45, 52, 58</w:t>
            </w:r>
          </w:p>
        </w:tc>
      </w:tr>
      <w:tr w:rsidR="00583DC3" w:rsidTr="00583DC3">
        <w:tc>
          <w:tcPr>
            <w:tcW w:w="2336" w:type="dxa"/>
            <w:shd w:val="clear" w:color="auto" w:fill="FFFFFF"/>
            <w:vAlign w:val="center"/>
          </w:tcPr>
          <w:p w:rsidR="00583DC3" w:rsidRPr="00583DC3" w:rsidRDefault="00583DC3" w:rsidP="00583DC3">
            <w:pPr>
              <w:spacing w:line="375" w:lineRule="atLeast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583DC3">
              <w:rPr>
                <w:rStyle w:val="ab"/>
                <w:rFonts w:ascii="Times New Roman" w:hAnsi="Times New Roman" w:cs="Times New Roman"/>
                <w:b w:val="0"/>
                <w:color w:val="0F1115"/>
                <w:sz w:val="24"/>
                <w:szCs w:val="24"/>
              </w:rPr>
              <w:t>Защита от остроконечных кондилом</w:t>
            </w:r>
            <w:r w:rsidR="00B364B3">
              <w:rPr>
                <w:rStyle w:val="ab"/>
                <w:rFonts w:ascii="Times New Roman" w:hAnsi="Times New Roman" w:cs="Times New Roman"/>
                <w:b w:val="0"/>
                <w:color w:val="0F1115"/>
                <w:sz w:val="24"/>
                <w:szCs w:val="24"/>
              </w:rPr>
              <w:br/>
            </w:r>
            <w:r w:rsidR="00B364B3" w:rsidRPr="00B364B3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Protection against Genital Warts</w:t>
            </w:r>
          </w:p>
        </w:tc>
        <w:tc>
          <w:tcPr>
            <w:tcW w:w="2336" w:type="dxa"/>
            <w:shd w:val="clear" w:color="auto" w:fill="FFFFFF"/>
            <w:vAlign w:val="center"/>
          </w:tcPr>
          <w:p w:rsidR="00583DC3" w:rsidRPr="00583DC3" w:rsidRDefault="00583DC3" w:rsidP="00583DC3">
            <w:pPr>
              <w:spacing w:line="375" w:lineRule="atLeast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583DC3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Нет</w:t>
            </w:r>
            <w:r w:rsidR="00B364B3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</w:r>
            <w:r w:rsidR="00B364B3" w:rsidRPr="00B364B3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No</w:t>
            </w:r>
          </w:p>
        </w:tc>
        <w:tc>
          <w:tcPr>
            <w:tcW w:w="2336" w:type="dxa"/>
            <w:shd w:val="clear" w:color="auto" w:fill="FFFFFF"/>
            <w:vAlign w:val="center"/>
          </w:tcPr>
          <w:p w:rsidR="00583DC3" w:rsidRPr="00583DC3" w:rsidRDefault="00583DC3" w:rsidP="00583DC3">
            <w:pPr>
              <w:spacing w:line="375" w:lineRule="atLeast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583DC3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Есть</w:t>
            </w:r>
            <w:r w:rsidR="001446FF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</w:r>
            <w:r w:rsidR="001446FF" w:rsidRPr="001446FF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Yes</w:t>
            </w:r>
          </w:p>
        </w:tc>
        <w:tc>
          <w:tcPr>
            <w:tcW w:w="2337" w:type="dxa"/>
            <w:shd w:val="clear" w:color="auto" w:fill="FFFFFF"/>
            <w:vAlign w:val="center"/>
          </w:tcPr>
          <w:p w:rsidR="00583DC3" w:rsidRPr="00583DC3" w:rsidRDefault="00583DC3" w:rsidP="00583DC3">
            <w:pPr>
              <w:spacing w:line="375" w:lineRule="atLeast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583DC3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Есть</w:t>
            </w:r>
            <w:r w:rsidR="001446FF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</w:r>
            <w:r w:rsidR="001446FF" w:rsidRPr="001446FF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Yes</w:t>
            </w:r>
          </w:p>
        </w:tc>
      </w:tr>
      <w:tr w:rsidR="00583DC3" w:rsidTr="00583DC3">
        <w:tc>
          <w:tcPr>
            <w:tcW w:w="2336" w:type="dxa"/>
            <w:shd w:val="clear" w:color="auto" w:fill="FFFFFF"/>
            <w:vAlign w:val="center"/>
          </w:tcPr>
          <w:p w:rsidR="00583DC3" w:rsidRPr="00583DC3" w:rsidRDefault="00583DC3" w:rsidP="00583DC3">
            <w:pPr>
              <w:spacing w:line="375" w:lineRule="atLeast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583DC3">
              <w:rPr>
                <w:rStyle w:val="ab"/>
                <w:rFonts w:ascii="Times New Roman" w:hAnsi="Times New Roman" w:cs="Times New Roman"/>
                <w:b w:val="0"/>
                <w:color w:val="0F1115"/>
                <w:sz w:val="24"/>
                <w:szCs w:val="24"/>
              </w:rPr>
              <w:t>Адъювант</w:t>
            </w:r>
            <w:r w:rsidR="00B364B3">
              <w:rPr>
                <w:rStyle w:val="ab"/>
                <w:rFonts w:ascii="Times New Roman" w:hAnsi="Times New Roman" w:cs="Times New Roman"/>
                <w:b w:val="0"/>
                <w:color w:val="0F1115"/>
                <w:sz w:val="24"/>
                <w:szCs w:val="24"/>
              </w:rPr>
              <w:br/>
            </w:r>
            <w:r w:rsidR="00B364B3" w:rsidRPr="00B364B3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Adjuvant</w:t>
            </w:r>
          </w:p>
        </w:tc>
        <w:tc>
          <w:tcPr>
            <w:tcW w:w="2336" w:type="dxa"/>
            <w:shd w:val="clear" w:color="auto" w:fill="FFFFFF"/>
            <w:vAlign w:val="center"/>
          </w:tcPr>
          <w:p w:rsidR="00583DC3" w:rsidRPr="00B364B3" w:rsidRDefault="00583DC3" w:rsidP="00583DC3">
            <w:pPr>
              <w:spacing w:line="375" w:lineRule="atLeast"/>
              <w:rPr>
                <w:rFonts w:ascii="Times New Roman" w:hAnsi="Times New Roman" w:cs="Times New Roman"/>
                <w:color w:val="0F1115"/>
                <w:sz w:val="24"/>
                <w:szCs w:val="24"/>
                <w:lang w:val="en-US"/>
              </w:rPr>
            </w:pPr>
            <w:r w:rsidRPr="00B364B3">
              <w:rPr>
                <w:rStyle w:val="ab"/>
                <w:rFonts w:ascii="Times New Roman" w:hAnsi="Times New Roman" w:cs="Times New Roman"/>
                <w:b w:val="0"/>
                <w:color w:val="0F1115"/>
                <w:sz w:val="24"/>
                <w:szCs w:val="24"/>
                <w:lang w:val="en-US"/>
              </w:rPr>
              <w:t>AS04</w:t>
            </w:r>
            <w:r w:rsidRPr="00B364B3">
              <w:rPr>
                <w:rFonts w:ascii="Times New Roman" w:hAnsi="Times New Roman" w:cs="Times New Roman"/>
                <w:color w:val="0F1115"/>
                <w:sz w:val="24"/>
                <w:szCs w:val="24"/>
                <w:lang w:val="en-US"/>
              </w:rPr>
              <w:t xml:space="preserve"> (MPL + </w:t>
            </w:r>
            <w:r w:rsidRPr="00583DC3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соль</w:t>
            </w:r>
            <w:r w:rsidRPr="00B364B3">
              <w:rPr>
                <w:rFonts w:ascii="Times New Roman" w:hAnsi="Times New Roman" w:cs="Times New Roman"/>
                <w:color w:val="0F1115"/>
                <w:sz w:val="24"/>
                <w:szCs w:val="24"/>
                <w:lang w:val="en-US"/>
              </w:rPr>
              <w:t xml:space="preserve"> Al)</w:t>
            </w:r>
            <w:r w:rsidR="00B364B3" w:rsidRPr="00B364B3">
              <w:rPr>
                <w:rFonts w:ascii="Times New Roman" w:hAnsi="Times New Roman" w:cs="Times New Roman"/>
                <w:color w:val="0F1115"/>
                <w:sz w:val="24"/>
                <w:szCs w:val="24"/>
                <w:lang w:val="en-US"/>
              </w:rPr>
              <w:br/>
              <w:t>AS04 (MPL + Al salt)</w:t>
            </w:r>
          </w:p>
        </w:tc>
        <w:tc>
          <w:tcPr>
            <w:tcW w:w="2336" w:type="dxa"/>
            <w:shd w:val="clear" w:color="auto" w:fill="FFFFFF"/>
            <w:vAlign w:val="center"/>
          </w:tcPr>
          <w:p w:rsidR="00583DC3" w:rsidRPr="00583DC3" w:rsidRDefault="00583DC3" w:rsidP="00583DC3">
            <w:pPr>
              <w:spacing w:line="375" w:lineRule="atLeast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583DC3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Соль алюминия</w:t>
            </w:r>
            <w:r w:rsidR="001446FF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</w:r>
            <w:r w:rsidR="001446FF" w:rsidRPr="001446FF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Aluminum salt</w:t>
            </w:r>
          </w:p>
        </w:tc>
        <w:tc>
          <w:tcPr>
            <w:tcW w:w="2337" w:type="dxa"/>
            <w:shd w:val="clear" w:color="auto" w:fill="FFFFFF"/>
            <w:vAlign w:val="center"/>
          </w:tcPr>
          <w:p w:rsidR="00583DC3" w:rsidRPr="00583DC3" w:rsidRDefault="00583DC3" w:rsidP="00583DC3">
            <w:pPr>
              <w:spacing w:line="375" w:lineRule="atLeast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583DC3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Соль алюминия</w:t>
            </w:r>
            <w:r w:rsidR="001446FF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</w:r>
            <w:r w:rsidR="001446FF" w:rsidRPr="001446FF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Aluminum salt</w:t>
            </w:r>
          </w:p>
        </w:tc>
      </w:tr>
      <w:tr w:rsidR="00583DC3" w:rsidTr="00583DC3">
        <w:tc>
          <w:tcPr>
            <w:tcW w:w="2336" w:type="dxa"/>
            <w:shd w:val="clear" w:color="auto" w:fill="FFFFFF"/>
            <w:vAlign w:val="center"/>
          </w:tcPr>
          <w:p w:rsidR="00583DC3" w:rsidRDefault="00583DC3" w:rsidP="00583DC3">
            <w:pPr>
              <w:spacing w:line="375" w:lineRule="atLeast"/>
              <w:rPr>
                <w:rStyle w:val="ab"/>
                <w:rFonts w:ascii="Times New Roman" w:hAnsi="Times New Roman" w:cs="Times New Roman"/>
                <w:b w:val="0"/>
                <w:color w:val="0F1115"/>
                <w:sz w:val="24"/>
                <w:szCs w:val="24"/>
              </w:rPr>
            </w:pPr>
            <w:r w:rsidRPr="00583DC3">
              <w:rPr>
                <w:rStyle w:val="ab"/>
                <w:rFonts w:ascii="Times New Roman" w:hAnsi="Times New Roman" w:cs="Times New Roman"/>
                <w:b w:val="0"/>
                <w:color w:val="0F1115"/>
                <w:sz w:val="24"/>
                <w:szCs w:val="24"/>
              </w:rPr>
              <w:t>Заявленная эффективность</w:t>
            </w:r>
          </w:p>
          <w:p w:rsidR="00B364B3" w:rsidRPr="00583DC3" w:rsidRDefault="00B364B3" w:rsidP="00583DC3">
            <w:pPr>
              <w:spacing w:line="375" w:lineRule="atLeast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B364B3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Stated Efficacy</w:t>
            </w:r>
          </w:p>
        </w:tc>
        <w:tc>
          <w:tcPr>
            <w:tcW w:w="2336" w:type="dxa"/>
            <w:shd w:val="clear" w:color="auto" w:fill="FFFFFF"/>
            <w:vAlign w:val="center"/>
          </w:tcPr>
          <w:p w:rsidR="00583DC3" w:rsidRPr="00583DC3" w:rsidRDefault="00583DC3" w:rsidP="00583DC3">
            <w:pPr>
              <w:spacing w:line="375" w:lineRule="atLeast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583DC3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&gt;90%</w:t>
            </w:r>
          </w:p>
        </w:tc>
        <w:tc>
          <w:tcPr>
            <w:tcW w:w="2336" w:type="dxa"/>
            <w:shd w:val="clear" w:color="auto" w:fill="FFFFFF"/>
            <w:vAlign w:val="center"/>
          </w:tcPr>
          <w:p w:rsidR="00583DC3" w:rsidRPr="00583DC3" w:rsidRDefault="00583DC3" w:rsidP="00583DC3">
            <w:pPr>
              <w:spacing w:line="375" w:lineRule="atLeast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583DC3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&gt;90%</w:t>
            </w:r>
          </w:p>
        </w:tc>
        <w:tc>
          <w:tcPr>
            <w:tcW w:w="2337" w:type="dxa"/>
            <w:shd w:val="clear" w:color="auto" w:fill="FFFFFF"/>
            <w:vAlign w:val="center"/>
          </w:tcPr>
          <w:p w:rsidR="00583DC3" w:rsidRPr="00583DC3" w:rsidRDefault="00583DC3" w:rsidP="00583DC3">
            <w:pPr>
              <w:spacing w:line="375" w:lineRule="atLeast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583DC3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&gt;95%</w:t>
            </w:r>
          </w:p>
        </w:tc>
      </w:tr>
    </w:tbl>
    <w:p w:rsidR="00583DC3" w:rsidRDefault="00583DC3" w:rsidP="00224911">
      <w:pPr>
        <w:pStyle w:val="aa"/>
        <w:keepNext/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</w:p>
    <w:p w:rsidR="00583DC3" w:rsidRDefault="00583DC3" w:rsidP="00224911">
      <w:pPr>
        <w:pStyle w:val="aa"/>
        <w:keepNext/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</w:p>
    <w:p w:rsidR="00583DC3" w:rsidRDefault="00583DC3" w:rsidP="00224911">
      <w:pPr>
        <w:pStyle w:val="aa"/>
        <w:keepNext/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</w:p>
    <w:p w:rsidR="00583DC3" w:rsidRDefault="00583DC3" w:rsidP="00224911">
      <w:pPr>
        <w:pStyle w:val="aa"/>
        <w:keepNext/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</w:p>
    <w:p w:rsidR="00583DC3" w:rsidRDefault="00583DC3" w:rsidP="00224911">
      <w:pPr>
        <w:pStyle w:val="aa"/>
        <w:keepNext/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</w:p>
    <w:p w:rsidR="00583DC3" w:rsidRDefault="00583DC3" w:rsidP="00224911">
      <w:pPr>
        <w:pStyle w:val="aa"/>
        <w:keepNext/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</w:p>
    <w:p w:rsidR="00583DC3" w:rsidRDefault="00583DC3" w:rsidP="00224911">
      <w:pPr>
        <w:pStyle w:val="aa"/>
        <w:keepNext/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</w:p>
    <w:p w:rsidR="00583DC3" w:rsidRDefault="00583DC3" w:rsidP="00224911">
      <w:pPr>
        <w:pStyle w:val="aa"/>
        <w:keepNext/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</w:p>
    <w:p w:rsidR="00583DC3" w:rsidRDefault="00583DC3" w:rsidP="00224911">
      <w:pPr>
        <w:pStyle w:val="aa"/>
        <w:keepNext/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</w:p>
    <w:p w:rsidR="00583DC3" w:rsidRDefault="00583DC3" w:rsidP="00224911">
      <w:pPr>
        <w:pStyle w:val="aa"/>
        <w:keepNext/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</w:p>
    <w:p w:rsidR="00583DC3" w:rsidRDefault="00583DC3" w:rsidP="00224911">
      <w:pPr>
        <w:pStyle w:val="aa"/>
        <w:keepNext/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</w:p>
    <w:p w:rsidR="00583DC3" w:rsidRDefault="00583DC3" w:rsidP="00224911">
      <w:pPr>
        <w:pStyle w:val="aa"/>
        <w:keepNext/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</w:p>
    <w:p w:rsidR="00583DC3" w:rsidRDefault="00583DC3" w:rsidP="00583DC3"/>
    <w:p w:rsidR="00583DC3" w:rsidRDefault="00583DC3" w:rsidP="00583DC3"/>
    <w:p w:rsidR="00583DC3" w:rsidRDefault="00583DC3" w:rsidP="00583DC3"/>
    <w:p w:rsidR="00583DC3" w:rsidRDefault="00583DC3" w:rsidP="00583DC3"/>
    <w:p w:rsidR="00583DC3" w:rsidRDefault="00583DC3" w:rsidP="00583DC3"/>
    <w:p w:rsidR="00583DC3" w:rsidRPr="00583DC3" w:rsidRDefault="00583DC3" w:rsidP="00583DC3"/>
    <w:p w:rsidR="00583DC3" w:rsidRDefault="00583DC3" w:rsidP="00224911">
      <w:pPr>
        <w:pStyle w:val="aa"/>
        <w:keepNext/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</w:p>
    <w:p w:rsidR="00224911" w:rsidRPr="00224911" w:rsidRDefault="00224911" w:rsidP="00224911">
      <w:pPr>
        <w:pStyle w:val="aa"/>
        <w:keepNext/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  <w:r w:rsidRPr="00224911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 xml:space="preserve">Таблица </w:t>
      </w:r>
      <w:r w:rsidRPr="00224911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fldChar w:fldCharType="begin"/>
      </w:r>
      <w:r w:rsidRPr="00224911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instrText xml:space="preserve"> SEQ Таблица \* ARABIC </w:instrText>
      </w:r>
      <w:r w:rsidRPr="00224911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fldChar w:fldCharType="separate"/>
      </w:r>
      <w:r w:rsidR="00583DC3">
        <w:rPr>
          <w:rFonts w:ascii="Times New Roman" w:hAnsi="Times New Roman" w:cs="Times New Roman"/>
          <w:i w:val="0"/>
          <w:noProof/>
          <w:color w:val="000000" w:themeColor="text1"/>
          <w:sz w:val="24"/>
          <w:szCs w:val="24"/>
        </w:rPr>
        <w:t>2</w:t>
      </w:r>
      <w:r w:rsidRPr="00224911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fldChar w:fldCharType="end"/>
      </w:r>
      <w:r w:rsidRPr="00224911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>.  Динамика гуморального и B-клеточного иммунного ответа после вакцинации</w:t>
      </w:r>
      <w:r w:rsidR="00F10A26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br/>
      </w:r>
      <w:r w:rsidR="00F10A26" w:rsidRPr="00F10A26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>Table 2. Dynamics of humoral and B-cell immune response after vaccination</w:t>
      </w:r>
      <w:bookmarkStart w:id="0" w:name="_GoBack"/>
      <w:bookmarkEnd w:id="0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224911" w:rsidTr="00224911">
        <w:tc>
          <w:tcPr>
            <w:tcW w:w="3115" w:type="dxa"/>
          </w:tcPr>
          <w:p w:rsidR="001446FF" w:rsidRPr="001446FF" w:rsidRDefault="00224911" w:rsidP="00144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 xml:space="preserve">Временной период </w:t>
            </w:r>
          </w:p>
          <w:p w:rsidR="00224911" w:rsidRPr="00224911" w:rsidRDefault="001446FF" w:rsidP="00144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6FF">
              <w:rPr>
                <w:rFonts w:ascii="Times New Roman" w:hAnsi="Times New Roman" w:cs="Times New Roman"/>
                <w:sz w:val="24"/>
                <w:szCs w:val="24"/>
              </w:rPr>
              <w:t>Time Period</w:t>
            </w:r>
          </w:p>
        </w:tc>
        <w:tc>
          <w:tcPr>
            <w:tcW w:w="3115" w:type="dxa"/>
          </w:tcPr>
          <w:p w:rsidR="00224911" w:rsidRDefault="00224911" w:rsidP="00A26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Характер</w:t>
            </w:r>
            <w:r w:rsidR="00A262EE">
              <w:rPr>
                <w:rFonts w:ascii="Times New Roman" w:hAnsi="Times New Roman" w:cs="Times New Roman"/>
                <w:sz w:val="24"/>
                <w:szCs w:val="24"/>
              </w:rPr>
              <w:t>истика гуморального иммунитета</w:t>
            </w:r>
            <w:r w:rsidR="001446F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262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46FF" w:rsidRPr="001446FF">
              <w:rPr>
                <w:rFonts w:ascii="Times New Roman" w:hAnsi="Times New Roman" w:cs="Times New Roman"/>
                <w:sz w:val="24"/>
                <w:szCs w:val="24"/>
              </w:rPr>
              <w:t>Humoral Immunity Characteristics</w:t>
            </w:r>
          </w:p>
          <w:p w:rsidR="00BB06CC" w:rsidRPr="00224911" w:rsidRDefault="00BB06CC" w:rsidP="00A26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224911" w:rsidRPr="00224911" w:rsidRDefault="00224911" w:rsidP="00A26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B-клеточного иммунитета </w:t>
            </w:r>
            <w:r w:rsidR="001446F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446FF" w:rsidRPr="001446FF">
              <w:rPr>
                <w:rFonts w:ascii="Times New Roman" w:hAnsi="Times New Roman" w:cs="Times New Roman"/>
                <w:sz w:val="24"/>
                <w:szCs w:val="24"/>
              </w:rPr>
              <w:t>B-cell Immunity Characteristics</w:t>
            </w:r>
          </w:p>
        </w:tc>
      </w:tr>
      <w:tr w:rsidR="00224911" w:rsidRPr="001446FF" w:rsidTr="00224911">
        <w:tc>
          <w:tcPr>
            <w:tcW w:w="3115" w:type="dxa"/>
          </w:tcPr>
          <w:p w:rsidR="00224911" w:rsidRPr="001446FF" w:rsidRDefault="0022491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r w:rsidRPr="001446FF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  <w:r w:rsidRPr="001446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после</w:t>
            </w:r>
            <w:r w:rsidRPr="001446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курса</w:t>
            </w:r>
            <w:r w:rsidR="001446FF" w:rsidRPr="001446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 </w:t>
            </w:r>
            <w:r w:rsidR="001446FF"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Month</w:t>
            </w:r>
            <w:r w:rsidR="001446FF" w:rsidRPr="001446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46FF"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Post</w:t>
            </w:r>
            <w:r w:rsidR="001446FF" w:rsidRPr="001446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446FF"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Vaccination</w:t>
            </w:r>
            <w:r w:rsidR="001446FF" w:rsidRPr="001446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46FF"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Course</w:t>
            </w:r>
          </w:p>
        </w:tc>
        <w:tc>
          <w:tcPr>
            <w:tcW w:w="3115" w:type="dxa"/>
          </w:tcPr>
          <w:p w:rsidR="00224911" w:rsidRPr="00224911" w:rsidRDefault="00224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Достижение пиковых титров антител</w:t>
            </w:r>
            <w:r w:rsidR="001446F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446FF" w:rsidRPr="001446FF">
              <w:rPr>
                <w:rFonts w:ascii="Times New Roman" w:hAnsi="Times New Roman" w:cs="Times New Roman"/>
                <w:sz w:val="24"/>
                <w:szCs w:val="24"/>
              </w:rPr>
              <w:t>Peak antibody titers are reached</w:t>
            </w:r>
          </w:p>
        </w:tc>
        <w:tc>
          <w:tcPr>
            <w:tcW w:w="3115" w:type="dxa"/>
          </w:tcPr>
          <w:p w:rsidR="00224911" w:rsidRPr="001446FF" w:rsidRDefault="0022491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  <w:r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формирования</w:t>
            </w:r>
            <w:r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пула</w:t>
            </w:r>
            <w:r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B-</w:t>
            </w: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клеток</w:t>
            </w:r>
            <w:r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памяти</w:t>
            </w:r>
            <w:r w:rsidR="001446FF"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Initial formation of the B-memory cell pool</w:t>
            </w:r>
          </w:p>
        </w:tc>
      </w:tr>
      <w:tr w:rsidR="00224911" w:rsidRPr="001446FF" w:rsidTr="00224911">
        <w:tc>
          <w:tcPr>
            <w:tcW w:w="3115" w:type="dxa"/>
          </w:tcPr>
          <w:p w:rsidR="00224911" w:rsidRPr="001446FF" w:rsidRDefault="0022491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24 </w:t>
            </w: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месяца</w:t>
            </w:r>
            <w:r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после</w:t>
            </w:r>
            <w:r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курса</w:t>
            </w:r>
            <w:r w:rsidR="001446FF"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24 Months Post-Vaccination Course</w:t>
            </w:r>
          </w:p>
        </w:tc>
        <w:tc>
          <w:tcPr>
            <w:tcW w:w="3115" w:type="dxa"/>
          </w:tcPr>
          <w:p w:rsidR="00224911" w:rsidRPr="001446FF" w:rsidRDefault="0022491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Снижение</w:t>
            </w:r>
            <w:r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титров</w:t>
            </w:r>
            <w:r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выход</w:t>
            </w:r>
            <w:r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устойчивое</w:t>
            </w:r>
            <w:r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плато</w:t>
            </w:r>
            <w:r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</w:t>
            </w:r>
            <w:r w:rsidR="001446FF"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Antibody titers decline and reach a stable "plateau"</w:t>
            </w:r>
          </w:p>
        </w:tc>
        <w:tc>
          <w:tcPr>
            <w:tcW w:w="3115" w:type="dxa"/>
          </w:tcPr>
          <w:p w:rsidR="00224911" w:rsidRPr="001446FF" w:rsidRDefault="0022491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Пул</w:t>
            </w:r>
            <w:r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сформирован</w:t>
            </w:r>
            <w:r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реактивность</w:t>
            </w:r>
            <w:r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может</w:t>
            </w:r>
            <w:r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быть</w:t>
            </w:r>
            <w:r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подавлена</w:t>
            </w:r>
            <w:r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высокими</w:t>
            </w:r>
            <w:r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титрами</w:t>
            </w:r>
            <w:r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антител</w:t>
            </w:r>
            <w:r w:rsidR="001446FF"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The pool is formed, but its reactivity may be suppressed by high antibody titers</w:t>
            </w:r>
          </w:p>
        </w:tc>
      </w:tr>
      <w:tr w:rsidR="00224911" w:rsidRPr="00F10A26" w:rsidTr="00224911">
        <w:tc>
          <w:tcPr>
            <w:tcW w:w="3115" w:type="dxa"/>
          </w:tcPr>
          <w:p w:rsidR="00224911" w:rsidRPr="001446FF" w:rsidRDefault="00A262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Ревакцинация</w:t>
            </w:r>
            <w:r w:rsidR="001446F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Revaccinatiom</w:t>
            </w:r>
          </w:p>
        </w:tc>
        <w:tc>
          <w:tcPr>
            <w:tcW w:w="3115" w:type="dxa"/>
          </w:tcPr>
          <w:p w:rsidR="00224911" w:rsidRPr="001446FF" w:rsidRDefault="0022491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Мощный</w:t>
            </w:r>
            <w:r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буст</w:t>
            </w:r>
            <w:r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эффект</w:t>
            </w:r>
            <w:r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", </w:t>
            </w: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резкий</w:t>
            </w:r>
            <w:r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  <w:r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титров</w:t>
            </w:r>
            <w:r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анамнестический</w:t>
            </w:r>
            <w:r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  <w:r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="001446FF"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Powerful "boost effect," sharp increase in titers (anamnestic response)</w:t>
            </w:r>
          </w:p>
        </w:tc>
        <w:tc>
          <w:tcPr>
            <w:tcW w:w="3115" w:type="dxa"/>
          </w:tcPr>
          <w:p w:rsidR="00224911" w:rsidRDefault="00224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Значительная активация, клональная экспансия и дифференцировка в плазмоциты</w:t>
            </w:r>
          </w:p>
          <w:p w:rsidR="00F10A26" w:rsidRPr="00F10A26" w:rsidRDefault="00F10A2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10A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Significant activation, clonal expansion, and differentiation into plasmocytes</w:t>
            </w:r>
          </w:p>
        </w:tc>
      </w:tr>
      <w:tr w:rsidR="00224911" w:rsidTr="00224911">
        <w:tc>
          <w:tcPr>
            <w:tcW w:w="3115" w:type="dxa"/>
          </w:tcPr>
          <w:p w:rsidR="00224911" w:rsidRPr="00224911" w:rsidRDefault="00224911" w:rsidP="00583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Сравнение: 2vHPV </w:t>
            </w:r>
            <w:r w:rsidR="00583D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 xml:space="preserve"> 4vHPV</w:t>
            </w:r>
            <w:r w:rsidR="001446F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446FF" w:rsidRPr="001446FF">
              <w:rPr>
                <w:rFonts w:ascii="Times New Roman" w:hAnsi="Times New Roman" w:cs="Times New Roman"/>
                <w:sz w:val="24"/>
                <w:szCs w:val="24"/>
              </w:rPr>
              <w:t>Comparison: 2vHPV vs 4vHPV</w:t>
            </w:r>
          </w:p>
        </w:tc>
        <w:tc>
          <w:tcPr>
            <w:tcW w:w="3115" w:type="dxa"/>
          </w:tcPr>
          <w:p w:rsidR="00224911" w:rsidRPr="00224911" w:rsidRDefault="00224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Более высокий начальный уровень антител у 2vHPV</w:t>
            </w:r>
            <w:r w:rsidR="001446F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446FF" w:rsidRPr="001446FF">
              <w:rPr>
                <w:rFonts w:ascii="Times New Roman" w:hAnsi="Times New Roman" w:cs="Times New Roman"/>
                <w:sz w:val="24"/>
                <w:szCs w:val="24"/>
              </w:rPr>
              <w:t>Higher initial antibody levels with 2vHPV</w:t>
            </w:r>
          </w:p>
        </w:tc>
        <w:tc>
          <w:tcPr>
            <w:tcW w:w="3115" w:type="dxa"/>
          </w:tcPr>
          <w:p w:rsidR="00224911" w:rsidRPr="00224911" w:rsidRDefault="00224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Больше B-клеток памяти сразу после вакцинации у 2vHPV, но выше доля лиц с обнаруживаемыми B-клетками через 4-5 лет у 4vHPV</w:t>
            </w:r>
            <w:r w:rsidR="00F10A2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10A26" w:rsidRPr="00F10A26">
              <w:rPr>
                <w:rFonts w:ascii="Times New Roman" w:hAnsi="Times New Roman" w:cs="Times New Roman"/>
                <w:sz w:val="24"/>
                <w:szCs w:val="24"/>
              </w:rPr>
              <w:t>More B-memory cells shortly after vaccination with 2vHPV, but a higher proportion of individuals with detectable B-memory cells after 4-5 years with 4vHPV</w:t>
            </w:r>
          </w:p>
        </w:tc>
      </w:tr>
      <w:tr w:rsidR="00224911" w:rsidRPr="00F10A26" w:rsidTr="00224911">
        <w:tc>
          <w:tcPr>
            <w:tcW w:w="3115" w:type="dxa"/>
          </w:tcPr>
          <w:p w:rsidR="00224911" w:rsidRPr="001446FF" w:rsidRDefault="0022491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  <w:r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долгосрочной</w:t>
            </w:r>
            <w:r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защите</w:t>
            </w:r>
            <w:r w:rsidR="001446FF"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Role in Long-Term Protection</w:t>
            </w:r>
          </w:p>
        </w:tc>
        <w:tc>
          <w:tcPr>
            <w:tcW w:w="3115" w:type="dxa"/>
          </w:tcPr>
          <w:p w:rsidR="00224911" w:rsidRPr="001446FF" w:rsidRDefault="0022491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Обеспечивается</w:t>
            </w:r>
            <w:r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долгоживущими</w:t>
            </w:r>
            <w:r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плазматическими</w:t>
            </w:r>
            <w:r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клетками</w:t>
            </w:r>
            <w:r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(LLPCs)</w:t>
            </w:r>
            <w:r w:rsidR="001446FF" w:rsidRPr="001446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Maintained by long-lived plasma cells (LLPCs)</w:t>
            </w:r>
          </w:p>
        </w:tc>
        <w:tc>
          <w:tcPr>
            <w:tcW w:w="3115" w:type="dxa"/>
          </w:tcPr>
          <w:p w:rsidR="00224911" w:rsidRDefault="00224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911">
              <w:rPr>
                <w:rFonts w:ascii="Times New Roman" w:hAnsi="Times New Roman" w:cs="Times New Roman"/>
                <w:sz w:val="24"/>
                <w:szCs w:val="24"/>
              </w:rPr>
              <w:t>Обеспечивает быстрый и мощный ответ при повторной встрече с антигеном</w:t>
            </w:r>
          </w:p>
          <w:p w:rsidR="00F10A26" w:rsidRPr="00F10A26" w:rsidRDefault="00F10A2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10A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Provides a rapid and powerful response upon re-exposure to the antigen</w:t>
            </w:r>
          </w:p>
        </w:tc>
      </w:tr>
    </w:tbl>
    <w:p w:rsidR="004E7927" w:rsidRPr="00F10A26" w:rsidRDefault="00873EAA">
      <w:pPr>
        <w:rPr>
          <w:lang w:val="en-US"/>
        </w:rPr>
      </w:pPr>
    </w:p>
    <w:p w:rsidR="00224911" w:rsidRPr="00F10A26" w:rsidRDefault="00224911">
      <w:pPr>
        <w:rPr>
          <w:lang w:val="en-US"/>
        </w:rPr>
      </w:pPr>
    </w:p>
    <w:sectPr w:rsidR="00224911" w:rsidRPr="00F10A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3EAA" w:rsidRDefault="00873EAA" w:rsidP="00224911">
      <w:pPr>
        <w:spacing w:after="0" w:line="240" w:lineRule="auto"/>
      </w:pPr>
      <w:r>
        <w:separator/>
      </w:r>
    </w:p>
  </w:endnote>
  <w:endnote w:type="continuationSeparator" w:id="0">
    <w:p w:rsidR="00873EAA" w:rsidRDefault="00873EAA" w:rsidP="00224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3EAA" w:rsidRDefault="00873EAA" w:rsidP="00224911">
      <w:pPr>
        <w:spacing w:after="0" w:line="240" w:lineRule="auto"/>
      </w:pPr>
      <w:r>
        <w:separator/>
      </w:r>
    </w:p>
  </w:footnote>
  <w:footnote w:type="continuationSeparator" w:id="0">
    <w:p w:rsidR="00873EAA" w:rsidRDefault="00873EAA" w:rsidP="002249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77D"/>
    <w:rsid w:val="001446FF"/>
    <w:rsid w:val="00224911"/>
    <w:rsid w:val="00583DC3"/>
    <w:rsid w:val="005A048A"/>
    <w:rsid w:val="00873EAA"/>
    <w:rsid w:val="00A004BE"/>
    <w:rsid w:val="00A262EE"/>
    <w:rsid w:val="00A44A87"/>
    <w:rsid w:val="00A751A5"/>
    <w:rsid w:val="00B364B3"/>
    <w:rsid w:val="00B823E9"/>
    <w:rsid w:val="00BB06CC"/>
    <w:rsid w:val="00C1545A"/>
    <w:rsid w:val="00CD5756"/>
    <w:rsid w:val="00CE377D"/>
    <w:rsid w:val="00D46CD3"/>
    <w:rsid w:val="00F10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23D0C"/>
  <w15:chartTrackingRefBased/>
  <w15:docId w15:val="{A21BA964-8D5B-4F58-B1B2-5FAC86C77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головок"/>
    <w:basedOn w:val="a"/>
    <w:link w:val="a4"/>
    <w:qFormat/>
    <w:rsid w:val="00CD5756"/>
    <w:rPr>
      <w:rFonts w:ascii="Times New Roman" w:hAnsi="Times New Roman" w:cs="Times New Roman"/>
      <w:sz w:val="32"/>
    </w:rPr>
  </w:style>
  <w:style w:type="character" w:customStyle="1" w:styleId="a4">
    <w:name w:val="аголовок Знак"/>
    <w:basedOn w:val="a0"/>
    <w:link w:val="a3"/>
    <w:rsid w:val="00CD5756"/>
    <w:rPr>
      <w:rFonts w:ascii="Times New Roman" w:hAnsi="Times New Roman" w:cs="Times New Roman"/>
      <w:sz w:val="32"/>
    </w:rPr>
  </w:style>
  <w:style w:type="table" w:styleId="a5">
    <w:name w:val="Table Grid"/>
    <w:basedOn w:val="a1"/>
    <w:uiPriority w:val="39"/>
    <w:rsid w:val="002249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249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4911"/>
  </w:style>
  <w:style w:type="paragraph" w:styleId="a8">
    <w:name w:val="footer"/>
    <w:basedOn w:val="a"/>
    <w:link w:val="a9"/>
    <w:uiPriority w:val="99"/>
    <w:unhideWhenUsed/>
    <w:rsid w:val="002249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4911"/>
  </w:style>
  <w:style w:type="paragraph" w:styleId="aa">
    <w:name w:val="caption"/>
    <w:basedOn w:val="a"/>
    <w:next w:val="a"/>
    <w:uiPriority w:val="35"/>
    <w:unhideWhenUsed/>
    <w:qFormat/>
    <w:rsid w:val="0022491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b">
    <w:name w:val="Strong"/>
    <w:basedOn w:val="a0"/>
    <w:uiPriority w:val="22"/>
    <w:qFormat/>
    <w:rsid w:val="00583D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2025-11-10T17:02:00Z</dcterms:created>
  <dcterms:modified xsi:type="dcterms:W3CDTF">2025-11-10T18:27:00Z</dcterms:modified>
</cp:coreProperties>
</file>