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40" w:lineRule="auto"/>
        <w:ind w:firstLine="708"/>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РИСУНКИ</w:t>
      </w:r>
    </w:p>
    <w:p w:rsidR="00000000" w:rsidDel="00000000" w:rsidP="00000000" w:rsidRDefault="00000000" w:rsidRPr="00000000" w14:paraId="00000002">
      <w:pPr>
        <w:spacing w:after="0" w:line="240" w:lineRule="auto"/>
        <w:ind w:firstLine="708"/>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3">
      <w:pPr>
        <w:spacing w:after="0"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Рисунок 1.</w:t>
      </w:r>
      <w:r w:rsidDel="00000000" w:rsidR="00000000" w:rsidRPr="00000000">
        <w:rPr>
          <w:rFonts w:ascii="Times New Roman" w:cs="Times New Roman" w:eastAsia="Times New Roman" w:hAnsi="Times New Roman"/>
          <w:sz w:val="28"/>
          <w:szCs w:val="28"/>
          <w:rtl w:val="0"/>
        </w:rPr>
        <w:t xml:space="preserve"> Граф алгоритма Фрюхтермана-Рейнголда взаимодействия полиморфных вариантов генов TNFA, IL-17A, IL-17F и TNFRSF11B в развитии РА.</w:t>
      </w:r>
      <w:r w:rsidDel="00000000" w:rsidR="00000000" w:rsidRPr="00000000">
        <w:rPr>
          <w:rtl w:val="0"/>
        </w:rPr>
      </w:r>
    </w:p>
    <w:p w:rsidR="00000000" w:rsidDel="00000000" w:rsidP="00000000" w:rsidRDefault="00000000" w:rsidRPr="00000000" w14:paraId="00000004">
      <w:pPr>
        <w:spacing w:after="0"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Figure 1.</w:t>
      </w:r>
      <w:r w:rsidDel="00000000" w:rsidR="00000000" w:rsidRPr="00000000">
        <w:rPr>
          <w:rFonts w:ascii="Times New Roman" w:cs="Times New Roman" w:eastAsia="Times New Roman" w:hAnsi="Times New Roman"/>
          <w:sz w:val="28"/>
          <w:szCs w:val="28"/>
          <w:rtl w:val="0"/>
        </w:rPr>
        <w:t xml:space="preserve"> Graph of the Fruchterman-Reinhold algorithm for the interaction of polymorphic variants of TNFA, IL-17A, IL-17F, and TNFRSF11B genes in the development of RA.</w:t>
      </w:r>
    </w:p>
    <w:p w:rsidR="00000000" w:rsidDel="00000000" w:rsidP="00000000" w:rsidRDefault="00000000" w:rsidRPr="00000000" w14:paraId="00000005">
      <w:pPr>
        <w:spacing w:after="0" w:line="240" w:lineRule="auto"/>
        <w:ind w:firstLine="708"/>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6">
      <w:pPr>
        <w:spacing w:after="0" w:line="240" w:lineRule="auto"/>
        <w:ind w:firstLine="708"/>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Pr>
        <w:drawing>
          <wp:inline distB="114300" distT="114300" distL="114300" distR="114300">
            <wp:extent cx="3453270" cy="2456450"/>
            <wp:effectExtent b="0" l="0" r="0" t="0"/>
            <wp:docPr id="2" name="image1.png"/>
            <a:graphic>
              <a:graphicData uri="http://schemas.openxmlformats.org/drawingml/2006/picture">
                <pic:pic>
                  <pic:nvPicPr>
                    <pic:cNvPr id="0" name="image1.png"/>
                    <pic:cNvPicPr preferRelativeResize="0"/>
                  </pic:nvPicPr>
                  <pic:blipFill>
                    <a:blip r:embed="rId6"/>
                    <a:srcRect b="33055" l="28405" r="36353" t="28470"/>
                    <a:stretch>
                      <a:fillRect/>
                    </a:stretch>
                  </pic:blipFill>
                  <pic:spPr>
                    <a:xfrm>
                      <a:off x="0" y="0"/>
                      <a:ext cx="3453270" cy="2456450"/>
                    </a:xfrm>
                    <a:prstGeom prst="rect"/>
                    <a:ln/>
                  </pic:spPr>
                </pic:pic>
              </a:graphicData>
            </a:graphic>
          </wp:inline>
        </w:drawing>
      </w:r>
      <w:r w:rsidDel="00000000" w:rsidR="00000000" w:rsidRPr="00000000">
        <w:rPr>
          <w:rtl w:val="0"/>
        </w:rPr>
      </w:r>
    </w:p>
    <w:p w:rsidR="00000000" w:rsidDel="00000000" w:rsidP="00000000" w:rsidRDefault="00000000" w:rsidRPr="00000000" w14:paraId="00000007">
      <w:pPr>
        <w:shd w:fill="ffffff" w:val="clear"/>
        <w:spacing w:after="0" w:line="240" w:lineRule="auto"/>
        <w:ind w:firstLine="708"/>
        <w:jc w:val="both"/>
        <w:rPr>
          <w:rFonts w:ascii="Times New Roman" w:cs="Times New Roman" w:eastAsia="Times New Roman" w:hAnsi="Times New Roman"/>
          <w:b w:val="1"/>
          <w:color w:val="2c2d2e"/>
          <w:sz w:val="28"/>
          <w:szCs w:val="28"/>
        </w:rPr>
      </w:pPr>
      <w:r w:rsidDel="00000000" w:rsidR="00000000" w:rsidRPr="00000000">
        <w:rPr>
          <w:rFonts w:ascii="Times New Roman" w:cs="Times New Roman" w:eastAsia="Times New Roman" w:hAnsi="Times New Roman"/>
          <w:b w:val="1"/>
          <w:color w:val="2c2d2e"/>
          <w:sz w:val="28"/>
          <w:szCs w:val="28"/>
          <w:rtl w:val="0"/>
        </w:rPr>
        <w:t xml:space="preserve"> </w:t>
      </w:r>
    </w:p>
    <w:p w:rsidR="00000000" w:rsidDel="00000000" w:rsidP="00000000" w:rsidRDefault="00000000" w:rsidRPr="00000000" w14:paraId="00000008">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Примечания:</w:t>
      </w:r>
      <w:r w:rsidDel="00000000" w:rsidR="00000000" w:rsidRPr="00000000">
        <w:rPr>
          <w:rFonts w:ascii="Times New Roman" w:cs="Times New Roman" w:eastAsia="Times New Roman" w:hAnsi="Times New Roman"/>
          <w:sz w:val="28"/>
          <w:szCs w:val="28"/>
          <w:rtl w:val="0"/>
        </w:rPr>
        <w:t xml:space="preserve"> Численные значения в узлах представляют собой вклад полиморфного варианта гена в развитие РА. Линии между узлами являются информацией об эффектах взаимодействия. Цветовая интерпретация взаимодействия: синий — выраженный антагонизм (взаимодействие с “отрицательным эффектом”), зелёный — умеренный антагонизм, оранжевый – умеренная синергия, коричневый — независимое взаимодействие (отсутствие связи). Сила и направленность взаимодействий представлены в % энтропии. </w:t>
      </w:r>
    </w:p>
    <w:p w:rsidR="00000000" w:rsidDel="00000000" w:rsidP="00000000" w:rsidRDefault="00000000" w:rsidRPr="00000000" w14:paraId="00000009">
      <w:pPr>
        <w:spacing w:after="0" w:line="240" w:lineRule="auto"/>
        <w:jc w:val="both"/>
        <w:rPr>
          <w:rFonts w:ascii="Times New Roman" w:cs="Times New Roman" w:eastAsia="Times New Roman" w:hAnsi="Times New Roman"/>
          <w:i w:val="1"/>
          <w:sz w:val="28"/>
          <w:szCs w:val="28"/>
        </w:rPr>
      </w:pPr>
      <w:r w:rsidDel="00000000" w:rsidR="00000000" w:rsidRPr="00000000">
        <w:rPr>
          <w:rtl w:val="0"/>
        </w:rPr>
      </w:r>
    </w:p>
    <w:p w:rsidR="00000000" w:rsidDel="00000000" w:rsidP="00000000" w:rsidRDefault="00000000" w:rsidRPr="00000000" w14:paraId="0000000A">
      <w:pPr>
        <w:shd w:fill="ffffff" w:val="clear"/>
        <w:spacing w:after="0" w:line="240" w:lineRule="auto"/>
        <w:ind w:left="0" w:firstLine="0"/>
        <w:jc w:val="both"/>
        <w:rPr>
          <w:rFonts w:ascii="Times New Roman" w:cs="Times New Roman" w:eastAsia="Times New Roman" w:hAnsi="Times New Roman"/>
          <w:color w:val="2c2d2e"/>
          <w:sz w:val="28"/>
          <w:szCs w:val="28"/>
        </w:rPr>
      </w:pPr>
      <w:r w:rsidDel="00000000" w:rsidR="00000000" w:rsidRPr="00000000">
        <w:rPr>
          <w:rFonts w:ascii="Times New Roman" w:cs="Times New Roman" w:eastAsia="Times New Roman" w:hAnsi="Times New Roman"/>
          <w:b w:val="1"/>
          <w:color w:val="2c2d2e"/>
          <w:sz w:val="28"/>
          <w:szCs w:val="28"/>
          <w:rtl w:val="0"/>
        </w:rPr>
        <w:t xml:space="preserve">Notes: </w:t>
      </w:r>
      <w:r w:rsidDel="00000000" w:rsidR="00000000" w:rsidRPr="00000000">
        <w:rPr>
          <w:rFonts w:ascii="Times New Roman" w:cs="Times New Roman" w:eastAsia="Times New Roman" w:hAnsi="Times New Roman"/>
          <w:color w:val="2c2d2e"/>
          <w:sz w:val="28"/>
          <w:szCs w:val="28"/>
          <w:rtl w:val="0"/>
        </w:rPr>
        <w:t xml:space="preserve">The numerical values in the nodes represent the contribution of the polymorphic variant of the gene to the development of RA. The lines between the nodes are information about the effects of the interaction. Color interpretation of the interaction: blue — marked antagonism (interaction with a “negative effect”), green — moderate antagonism, brown — independent interaction (lack of communication). The strength and direction of interactions are represented in % entropy.</w:t>
      </w:r>
    </w:p>
    <w:p w:rsidR="00000000" w:rsidDel="00000000" w:rsidP="00000000" w:rsidRDefault="00000000" w:rsidRPr="00000000" w14:paraId="0000000B">
      <w:pPr>
        <w:shd w:fill="ffffff" w:val="clear"/>
        <w:spacing w:after="0" w:line="240" w:lineRule="auto"/>
        <w:ind w:left="0" w:firstLine="0"/>
        <w:jc w:val="both"/>
        <w:rPr>
          <w:rFonts w:ascii="Times New Roman" w:cs="Times New Roman" w:eastAsia="Times New Roman" w:hAnsi="Times New Roman"/>
          <w:color w:val="2c2d2e"/>
          <w:sz w:val="28"/>
          <w:szCs w:val="28"/>
        </w:rPr>
      </w:pPr>
      <w:r w:rsidDel="00000000" w:rsidR="00000000" w:rsidRPr="00000000">
        <w:rPr>
          <w:rtl w:val="0"/>
        </w:rPr>
      </w:r>
    </w:p>
    <w:p w:rsidR="00000000" w:rsidDel="00000000" w:rsidP="00000000" w:rsidRDefault="00000000" w:rsidRPr="00000000" w14:paraId="0000000C">
      <w:pPr>
        <w:shd w:fill="ffffff" w:val="clear"/>
        <w:spacing w:after="0" w:line="240" w:lineRule="auto"/>
        <w:ind w:left="0" w:firstLine="0"/>
        <w:jc w:val="both"/>
        <w:rPr>
          <w:rFonts w:ascii="Times New Roman" w:cs="Times New Roman" w:eastAsia="Times New Roman" w:hAnsi="Times New Roman"/>
          <w:color w:val="2c2d2e"/>
          <w:sz w:val="28"/>
          <w:szCs w:val="28"/>
        </w:rPr>
      </w:pPr>
      <w:r w:rsidDel="00000000" w:rsidR="00000000" w:rsidRPr="00000000">
        <w:rPr>
          <w:rtl w:val="0"/>
        </w:rPr>
      </w:r>
    </w:p>
    <w:p w:rsidR="00000000" w:rsidDel="00000000" w:rsidP="00000000" w:rsidRDefault="00000000" w:rsidRPr="00000000" w14:paraId="0000000D">
      <w:pPr>
        <w:shd w:fill="ffffff" w:val="clear"/>
        <w:spacing w:after="0" w:line="240" w:lineRule="auto"/>
        <w:ind w:left="0" w:firstLine="0"/>
        <w:jc w:val="both"/>
        <w:rPr>
          <w:rFonts w:ascii="Times New Roman" w:cs="Times New Roman" w:eastAsia="Times New Roman" w:hAnsi="Times New Roman"/>
          <w:color w:val="2c2d2e"/>
          <w:sz w:val="28"/>
          <w:szCs w:val="28"/>
        </w:rPr>
      </w:pPr>
      <w:r w:rsidDel="00000000" w:rsidR="00000000" w:rsidRPr="00000000">
        <w:rPr>
          <w:rtl w:val="0"/>
        </w:rPr>
      </w:r>
    </w:p>
    <w:p w:rsidR="00000000" w:rsidDel="00000000" w:rsidP="00000000" w:rsidRDefault="00000000" w:rsidRPr="00000000" w14:paraId="0000000E">
      <w:pPr>
        <w:shd w:fill="ffffff" w:val="clear"/>
        <w:spacing w:after="0" w:line="240" w:lineRule="auto"/>
        <w:ind w:left="0" w:firstLine="0"/>
        <w:jc w:val="both"/>
        <w:rPr>
          <w:rFonts w:ascii="Times New Roman" w:cs="Times New Roman" w:eastAsia="Times New Roman" w:hAnsi="Times New Roman"/>
          <w:color w:val="2c2d2e"/>
          <w:sz w:val="28"/>
          <w:szCs w:val="28"/>
        </w:rPr>
      </w:pPr>
      <w:r w:rsidDel="00000000" w:rsidR="00000000" w:rsidRPr="00000000">
        <w:rPr>
          <w:rtl w:val="0"/>
        </w:rPr>
      </w:r>
    </w:p>
    <w:p w:rsidR="00000000" w:rsidDel="00000000" w:rsidP="00000000" w:rsidRDefault="00000000" w:rsidRPr="00000000" w14:paraId="0000000F">
      <w:pPr>
        <w:shd w:fill="ffffff" w:val="clear"/>
        <w:spacing w:after="0" w:line="240" w:lineRule="auto"/>
        <w:ind w:left="0" w:firstLine="0"/>
        <w:jc w:val="both"/>
        <w:rPr>
          <w:rFonts w:ascii="Times New Roman" w:cs="Times New Roman" w:eastAsia="Times New Roman" w:hAnsi="Times New Roman"/>
          <w:color w:val="2c2d2e"/>
          <w:sz w:val="28"/>
          <w:szCs w:val="28"/>
        </w:rPr>
      </w:pPr>
      <w:r w:rsidDel="00000000" w:rsidR="00000000" w:rsidRPr="00000000">
        <w:rPr>
          <w:rtl w:val="0"/>
        </w:rPr>
      </w:r>
    </w:p>
    <w:p w:rsidR="00000000" w:rsidDel="00000000" w:rsidP="00000000" w:rsidRDefault="00000000" w:rsidRPr="00000000" w14:paraId="00000010">
      <w:pPr>
        <w:spacing w:after="0" w:line="240" w:lineRule="auto"/>
        <w:ind w:left="0" w:firstLine="0"/>
        <w:jc w:val="left"/>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1">
      <w:pPr>
        <w:spacing w:after="0"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Рисунок 2.</w:t>
      </w:r>
      <w:r w:rsidDel="00000000" w:rsidR="00000000" w:rsidRPr="00000000">
        <w:rPr>
          <w:rFonts w:ascii="Times New Roman" w:cs="Times New Roman" w:eastAsia="Times New Roman" w:hAnsi="Times New Roman"/>
          <w:sz w:val="28"/>
          <w:szCs w:val="28"/>
          <w:rtl w:val="0"/>
        </w:rPr>
        <w:t xml:space="preserve"> Граф алгоритма Фрюхтермана-Рейнголда взаимодействия полиморфных вариантов генов TNFA, IL-17A, IL-17F и TNFRSF11B в развитии РА у женского пола.</w:t>
      </w:r>
    </w:p>
    <w:p w:rsidR="00000000" w:rsidDel="00000000" w:rsidP="00000000" w:rsidRDefault="00000000" w:rsidRPr="00000000" w14:paraId="00000012">
      <w:pPr>
        <w:spacing w:after="0"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Figure 2.</w:t>
      </w:r>
      <w:r w:rsidDel="00000000" w:rsidR="00000000" w:rsidRPr="00000000">
        <w:rPr>
          <w:rFonts w:ascii="Times New Roman" w:cs="Times New Roman" w:eastAsia="Times New Roman" w:hAnsi="Times New Roman"/>
          <w:sz w:val="28"/>
          <w:szCs w:val="28"/>
          <w:rtl w:val="0"/>
        </w:rPr>
        <w:t xml:space="preserve"> Graph of the Fruchterman-Reinhold algorithm for the interaction of polymorphic variants of TNFA, IL-17A, IL-17F, and TNFRSF11B genes in the development of RA in women.</w:t>
      </w:r>
    </w:p>
    <w:p w:rsidR="00000000" w:rsidDel="00000000" w:rsidP="00000000" w:rsidRDefault="00000000" w:rsidRPr="00000000" w14:paraId="00000013">
      <w:pPr>
        <w:spacing w:after="0" w:line="240" w:lineRule="auto"/>
        <w:ind w:firstLine="708"/>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4">
      <w:pPr>
        <w:spacing w:after="0" w:line="240" w:lineRule="auto"/>
        <w:ind w:firstLine="708"/>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Pr>
        <w:drawing>
          <wp:inline distB="114300" distT="114300" distL="114300" distR="114300">
            <wp:extent cx="3453270" cy="2456450"/>
            <wp:effectExtent b="0" l="0" r="0" t="0"/>
            <wp:docPr id="1" name="image1.png"/>
            <a:graphic>
              <a:graphicData uri="http://schemas.openxmlformats.org/drawingml/2006/picture">
                <pic:pic>
                  <pic:nvPicPr>
                    <pic:cNvPr id="0" name="image1.png"/>
                    <pic:cNvPicPr preferRelativeResize="0"/>
                  </pic:nvPicPr>
                  <pic:blipFill>
                    <a:blip r:embed="rId6"/>
                    <a:srcRect b="33055" l="28405" r="36353" t="28470"/>
                    <a:stretch>
                      <a:fillRect/>
                    </a:stretch>
                  </pic:blipFill>
                  <pic:spPr>
                    <a:xfrm>
                      <a:off x="0" y="0"/>
                      <a:ext cx="3453270" cy="2456450"/>
                    </a:xfrm>
                    <a:prstGeom prst="rect"/>
                    <a:ln/>
                  </pic:spPr>
                </pic:pic>
              </a:graphicData>
            </a:graphic>
          </wp:inline>
        </w:drawing>
      </w:r>
      <w:r w:rsidDel="00000000" w:rsidR="00000000" w:rsidRPr="00000000">
        <w:rPr>
          <w:rtl w:val="0"/>
        </w:rPr>
      </w:r>
    </w:p>
    <w:p w:rsidR="00000000" w:rsidDel="00000000" w:rsidP="00000000" w:rsidRDefault="00000000" w:rsidRPr="00000000" w14:paraId="00000015">
      <w:pPr>
        <w:shd w:fill="ffffff" w:val="clear"/>
        <w:spacing w:after="0" w:line="240" w:lineRule="auto"/>
        <w:ind w:firstLine="708"/>
        <w:jc w:val="both"/>
        <w:rPr>
          <w:rFonts w:ascii="Times New Roman" w:cs="Times New Roman" w:eastAsia="Times New Roman" w:hAnsi="Times New Roman"/>
          <w:b w:val="1"/>
          <w:color w:val="2c2d2e"/>
          <w:sz w:val="28"/>
          <w:szCs w:val="28"/>
        </w:rPr>
      </w:pPr>
      <w:r w:rsidDel="00000000" w:rsidR="00000000" w:rsidRPr="00000000">
        <w:rPr>
          <w:rFonts w:ascii="Times New Roman" w:cs="Times New Roman" w:eastAsia="Times New Roman" w:hAnsi="Times New Roman"/>
          <w:b w:val="1"/>
          <w:color w:val="2c2d2e"/>
          <w:sz w:val="28"/>
          <w:szCs w:val="28"/>
          <w:rtl w:val="0"/>
        </w:rPr>
        <w:t xml:space="preserve"> </w:t>
      </w:r>
    </w:p>
    <w:p w:rsidR="00000000" w:rsidDel="00000000" w:rsidP="00000000" w:rsidRDefault="00000000" w:rsidRPr="00000000" w14:paraId="00000016">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Примечания:</w:t>
      </w:r>
      <w:r w:rsidDel="00000000" w:rsidR="00000000" w:rsidRPr="00000000">
        <w:rPr>
          <w:rFonts w:ascii="Times New Roman" w:cs="Times New Roman" w:eastAsia="Times New Roman" w:hAnsi="Times New Roman"/>
          <w:sz w:val="28"/>
          <w:szCs w:val="28"/>
          <w:rtl w:val="0"/>
        </w:rPr>
        <w:t xml:space="preserve"> Численные значения в узлах представляют собой вклад полиморфного варианта гена в развитие РА. Линии между узлами являются информацией об эффектах взаимодействия. Цветовая интерпретация взаимодействия: синий — выраженный антагонизм (взаимодействие с “отрицательным эффектом”), зелёный — умеренный антагонизм, оранжевый – умеренная синергия, коричневый — независимое взаимодействие (отсутствие связи). Сила и направленность взаимодействий представлены в % энтропии. </w:t>
      </w:r>
    </w:p>
    <w:p w:rsidR="00000000" w:rsidDel="00000000" w:rsidP="00000000" w:rsidRDefault="00000000" w:rsidRPr="00000000" w14:paraId="00000017">
      <w:pPr>
        <w:spacing w:after="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8">
      <w:pPr>
        <w:shd w:fill="ffffff" w:val="clear"/>
        <w:spacing w:after="0" w:line="240" w:lineRule="auto"/>
        <w:jc w:val="both"/>
        <w:rPr>
          <w:rFonts w:ascii="Times New Roman" w:cs="Times New Roman" w:eastAsia="Times New Roman" w:hAnsi="Times New Roman"/>
          <w:color w:val="2c2d2e"/>
          <w:sz w:val="28"/>
          <w:szCs w:val="28"/>
        </w:rPr>
      </w:pPr>
      <w:r w:rsidDel="00000000" w:rsidR="00000000" w:rsidRPr="00000000">
        <w:rPr>
          <w:rFonts w:ascii="Times New Roman" w:cs="Times New Roman" w:eastAsia="Times New Roman" w:hAnsi="Times New Roman"/>
          <w:b w:val="1"/>
          <w:color w:val="2c2d2e"/>
          <w:sz w:val="28"/>
          <w:szCs w:val="28"/>
          <w:rtl w:val="0"/>
        </w:rPr>
        <w:t xml:space="preserve">Notes: </w:t>
      </w:r>
      <w:r w:rsidDel="00000000" w:rsidR="00000000" w:rsidRPr="00000000">
        <w:rPr>
          <w:rFonts w:ascii="Times New Roman" w:cs="Times New Roman" w:eastAsia="Times New Roman" w:hAnsi="Times New Roman"/>
          <w:color w:val="2c2d2e"/>
          <w:sz w:val="28"/>
          <w:szCs w:val="28"/>
          <w:rtl w:val="0"/>
        </w:rPr>
        <w:t xml:space="preserve">The numerical values in the nodes represent the contribution of the polymorphic variant of the gene to the development of RA. The lines between the nodes are information about the effects of the interaction. Color interpretation of the interaction: blue — marked antagonism (interaction with a “negative effect”), green — moderate antagonism, brown — independent interaction (lack of communication). The strength and direction of interactions are represented in % entropy.</w:t>
      </w:r>
      <w:r w:rsidDel="00000000" w:rsidR="00000000" w:rsidRPr="00000000">
        <w:rPr>
          <w:rtl w:val="0"/>
        </w:rPr>
      </w:r>
    </w:p>
    <w:sectPr>
      <w:pgSz w:h="16838" w:w="11906" w:orient="portrait"/>
      <w:pgMar w:bottom="1134" w:top="1134" w:left="1701" w:right="85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ru-RU"/>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