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479"/>
        <w:gridCol w:w="3940"/>
        <w:gridCol w:w="4645"/>
      </w:tblGrid>
      <w:tr w:rsidR="00D65BC2" w:rsidRPr="00161622" w:rsidTr="007C04AC"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Вишневский Б.И., Яблонский П.К. Персистенция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Mycobacterium</w:t>
            </w:r>
            <w:proofErr w:type="spellEnd"/>
            <w:r w:rsidRPr="001616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tuberculosis</w:t>
            </w:r>
            <w:proofErr w:type="spellEnd"/>
            <w:r w:rsidRPr="001616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— основа латентного туберкулеза (обзор литературы) // 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Медицинский Альянс, 2020. Т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8, № 2. 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14-20</w:t>
            </w:r>
          </w:p>
        </w:tc>
        <w:tc>
          <w:tcPr>
            <w:tcW w:w="0" w:type="auto"/>
          </w:tcPr>
          <w:p w:rsidR="007C04AC" w:rsidRPr="00161622" w:rsidRDefault="006F21E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Vishnevskiy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B.,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Yablonski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P. The persistence of Mycobacterium tuberculosis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аs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the basis of latent tuberculosis (review).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Meditsinskii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Alʼyans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=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Medical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Alliance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, 2020, Vol.8, no.2, pp.14-20</w:t>
            </w:r>
          </w:p>
        </w:tc>
        <w:tc>
          <w:tcPr>
            <w:tcW w:w="0" w:type="auto"/>
          </w:tcPr>
          <w:p w:rsidR="007C04AC" w:rsidRPr="00161622" w:rsidRDefault="006F21E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10.36422/23076348-2020-8-2-14-20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B5597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4AC" w:rsidRPr="00161622" w:rsidRDefault="00B5597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Заболотных Н.В., Виноградова Т.И.,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>Догонадзе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М.З.,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>Витовская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М.Л., Ариэль А.Б., Васильев К.А., Шурыгина А.-П.С.,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>Бузицкая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Ж.В.,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>Стукова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М.А. Эффективность применения векторной вакцины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>Flu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/ESAT-6 в схеме комплексной терапии лекарственно-чувствительного и лекарственно-устойчивого экспериментального туберкулеза // 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Медицинский Альянс, 2020. Т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8, № 4. 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6-15</w:t>
            </w:r>
          </w:p>
        </w:tc>
        <w:tc>
          <w:tcPr>
            <w:tcW w:w="0" w:type="auto"/>
          </w:tcPr>
          <w:p w:rsidR="007C04AC" w:rsidRPr="00161622" w:rsidRDefault="00B5597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Zabolotnykh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N., T.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Vinogradova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Dogonadze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Vitovskaya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M., Ariel B.,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Vasilyev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K.,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Shurygina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A.-P.,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Buzitskaya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Zh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Stukova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M. Vector vaccine Flu/ESAT-6 application in the regimen of complex therapy of drug-sensitive and drug-resistant experimental tuberculosis estimation of the efficiency.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Meditsinskii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Alʼyans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=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Medical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Alliance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, 2020, Vol.8, no.4, pp.6-15</w:t>
            </w:r>
          </w:p>
        </w:tc>
        <w:tc>
          <w:tcPr>
            <w:tcW w:w="0" w:type="auto"/>
          </w:tcPr>
          <w:p w:rsidR="007C04AC" w:rsidRPr="00161622" w:rsidRDefault="00B5597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10.36422/23076348-2020-8-4-6-15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B5597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C04AC" w:rsidRPr="00161622" w:rsidRDefault="0067788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Новицкий В.В.,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Стрелис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А.К., Уразова О.И., Воронкова О.В., Синицына В.А., Ткаченко С.Б.,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Филинюк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О.В., Земляная Н.А.,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Шилько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Т.А.,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Есимова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И.Е. Особенности поверхностного фенотипа лимфоцитов крови у больных туберкулезом//Медицинская иммунология, 2005. Т.7, № 5-6. С.587-592.</w:t>
            </w:r>
          </w:p>
        </w:tc>
        <w:tc>
          <w:tcPr>
            <w:tcW w:w="0" w:type="auto"/>
          </w:tcPr>
          <w:p w:rsidR="007C04AC" w:rsidRPr="00161622" w:rsidRDefault="0067788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Novicky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V.V.,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Strelis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A.K.,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Urazova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O.I.,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Voronkova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O.V.,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Sinitsina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V.A.,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Tkachenko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S.B.,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Filiniuk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O.V.,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Zemlianaya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N.A.,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Shilʼko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T.A.,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Esimova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I.Ye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The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featutures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of surface phenotype of blood lymphocytes in the patients with tuberculosis.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Meditsinskaya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Immunologiya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= Medical Immunology, 2005, Vol.7, no.5-6, pp.587-592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67788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C04AC" w:rsidRPr="00161622" w:rsidRDefault="0046721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Шовкун Л.А., Кудлай Д.А., Николенко Н.Ю., Кампос Е.Д.,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>Харсеева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Г.Г. Особенности формирования иммунного ответа при туберкулезе с выделением лекарственно-чувствительных и лекарственно устойчивых штаммов </w:t>
            </w:r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tuberculosis</w:t>
            </w:r>
            <w:proofErr w:type="spellEnd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// Туберкулёз и болезни лёгких, 2019. Т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97, № 6. 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44-49</w:t>
            </w:r>
          </w:p>
        </w:tc>
        <w:tc>
          <w:tcPr>
            <w:tcW w:w="0" w:type="auto"/>
          </w:tcPr>
          <w:p w:rsidR="007C04AC" w:rsidRPr="00161622" w:rsidRDefault="0046721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Shovkun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Kudlay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</w:t>
            </w: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Nikolenko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N.Yu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Kampos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E.D.,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Kharseeva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G.G. Specific features of the immune response to tuberculosis when drug susceptible and drug resistant strains of </w:t>
            </w:r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M. tuberculosis </w:t>
            </w:r>
            <w:proofErr w:type="gram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detected</w:t>
            </w:r>
            <w:proofErr w:type="gram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Tuberkylezi</w:t>
            </w:r>
            <w:proofErr w:type="spellEnd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Bolezni</w:t>
            </w:r>
            <w:proofErr w:type="spellEnd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Legkikh</w:t>
            </w:r>
            <w:proofErr w:type="spellEnd"/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= Tuberculosis and Lung Diseases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2019, Vol. 97, no. 6, pp. 44-49</w:t>
            </w:r>
          </w:p>
        </w:tc>
        <w:tc>
          <w:tcPr>
            <w:tcW w:w="0" w:type="auto"/>
          </w:tcPr>
          <w:p w:rsidR="007C04AC" w:rsidRPr="00161622" w:rsidRDefault="0046721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doi.org/10.21292/2075-1230-2019-97-6-44-49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46721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C04AC" w:rsidRPr="00161622" w:rsidRDefault="0046721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Andersson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Samarina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Fink J., Rahman S.,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Grundstrӧm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Impaired expression of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perforin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CD8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cells at the site of infection in human chronic pulmonary tuberculosis. </w:t>
            </w:r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Infection and immunity, 2007, vol.75, no.11, pp. 5210-5222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FE7E1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doi:10.1128/IAI.00624-07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FE7E1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C04AC" w:rsidRPr="00161622" w:rsidRDefault="00FE7E1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Antonioli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Blandizzi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Pacher P.,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Hasko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Immunity, inflammation and cancer: a leading role for adenosine</w:t>
            </w:r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Nat. Rev. Cancer., 2013, Vol. 13, no. 12, pp. 842-857.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FE7E1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10.1038/nrc3613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FE7E1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C04AC" w:rsidRPr="00161622" w:rsidRDefault="00FE7E1A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Antonioli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Csóka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Fornai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Colucci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Kókai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Drandizzi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and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Haskó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Adenosine and inflammation: </w:t>
            </w:r>
            <w:proofErr w:type="gram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what's</w:t>
            </w:r>
            <w:proofErr w:type="gram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new on the horizon? </w:t>
            </w:r>
            <w:r w:rsidRPr="0016162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Drug </w:t>
            </w:r>
            <w:proofErr w:type="spellStart"/>
            <w:r w:rsidRPr="0016162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Discov</w:t>
            </w:r>
            <w:proofErr w:type="spellEnd"/>
            <w:r w:rsidRPr="0016162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</w:t>
            </w:r>
            <w:r w:rsidRPr="001616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Today, </w:t>
            </w:r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2014, vol.19, no.8, pp. 1051-1068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B23E9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10.1016/j.drudis.2014.02.010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B23E9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C04AC" w:rsidRPr="00161622" w:rsidRDefault="00B23E9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Antonioli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Blandizzi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Pacher P.,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Hasko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Adenosine signaling and the immune system: when a lot could be too much.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Lett, 2019, Vol.205, pp.9-15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B23E9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10.1016/j.imlet.2018.04.006. 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Epub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2018 Apr 24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B23E9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C04AC" w:rsidRPr="00161622" w:rsidRDefault="00B23E9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Barreira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da Silva R., Laird M.E.,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Yatim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Fiette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L., Ingersoll M.A., Albert M.L. </w:t>
            </w:r>
            <w:proofErr w:type="spellStart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Dipeptidylpeptidase</w:t>
            </w:r>
            <w:proofErr w:type="spellEnd"/>
            <w:r w:rsidRPr="001616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 inhibition enhances lymphocyte trafficking, improving both naturally occurring tumor immunity and immunotherapy. </w:t>
            </w:r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Nat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161622">
              <w:rPr>
                <w:rStyle w:val="cit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2015, Vol. 16, no. 8, pp. 850-8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B23E9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Style w:val="citation-doi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161622">
              <w:rPr>
                <w:rStyle w:val="citation-doi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10.1038/ni.3201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D83C1E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7C04AC" w:rsidRPr="00161622" w:rsidRDefault="00D83C1E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Becerra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M.C., </w:t>
            </w:r>
            <w:hyperlink r:id="rId6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Huang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C.-C.,  </w:t>
            </w:r>
            <w:proofErr w:type="spellStart"/>
            <w:r w:rsidRPr="00161622"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begin"/>
            </w:r>
            <w:r w:rsidRPr="001616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instrText xml:space="preserve"> HYPERLINK "https://pubmed.ncbi.nlm.nih.gov/?term=Lecca%20L%5BAuthor%5D" </w:instrText>
            </w:r>
            <w:r w:rsidRPr="00161622"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separate"/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Lecca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 </w:t>
            </w:r>
            <w:proofErr w:type="spellStart"/>
            <w:r w:rsidRPr="00161622"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begin"/>
            </w:r>
            <w:r w:rsidRPr="001616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instrText xml:space="preserve"> HYPERLINK "https://pubmed.ncbi.nlm.nih.gov/?term=Bayona%20J%5BAuthor%5D" </w:instrText>
            </w:r>
            <w:r w:rsidRPr="00161622"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separate"/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Bayona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 </w:t>
            </w:r>
            <w:hyperlink r:id="rId7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Contreras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</w:t>
            </w:r>
            <w:hyperlink r:id="rId8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Calderon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hyperlink r:id="rId9" w:history="1">
              <w:proofErr w:type="spellStart"/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Yataco</w:t>
              </w:r>
              <w:proofErr w:type="spellEnd"/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hyperlink r:id="rId10" w:history="1">
              <w:proofErr w:type="spellStart"/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Galea</w:t>
              </w:r>
              <w:proofErr w:type="spellEnd"/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hyperlink r:id="rId11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Zhang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Z., </w:t>
            </w:r>
            <w:hyperlink r:id="rId12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Atwood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 </w:t>
            </w:r>
            <w:hyperlink r:id="rId13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Cohen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hyperlink r:id="rId14" w:history="1">
              <w:proofErr w:type="spellStart"/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Mitnick</w:t>
              </w:r>
              <w:proofErr w:type="spellEnd"/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C.D., </w:t>
            </w:r>
            <w:hyperlink r:id="rId15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Farmer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hyperlink r:id="rId16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Murray</w:t>
              </w:r>
            </w:hyperlink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</w:t>
            </w:r>
            <w:r w:rsidRPr="00161622">
              <w:rPr>
                <w:rFonts w:ascii="Times New Roman" w:hAnsi="Times New Roman" w:cs="Times New Roman"/>
                <w:spacing w:val="-2"/>
                <w:kern w:val="36"/>
                <w:sz w:val="28"/>
                <w:szCs w:val="28"/>
                <w:lang w:val="en-US"/>
              </w:rPr>
              <w:t xml:space="preserve">Transmissibility and potential for disease progression of drug resistant </w:t>
            </w:r>
            <w:r w:rsidRPr="00161622">
              <w:rPr>
                <w:rFonts w:ascii="Times New Roman" w:hAnsi="Times New Roman" w:cs="Times New Roman"/>
                <w:i/>
                <w:iCs/>
                <w:spacing w:val="-2"/>
                <w:kern w:val="36"/>
                <w:sz w:val="28"/>
                <w:szCs w:val="28"/>
                <w:lang w:val="en-US"/>
              </w:rPr>
              <w:t>Mycobacterium tuberculosis</w:t>
            </w:r>
            <w:r w:rsidRPr="00161622">
              <w:rPr>
                <w:rFonts w:ascii="Times New Roman" w:hAnsi="Times New Roman" w:cs="Times New Roman"/>
                <w:spacing w:val="-2"/>
                <w:kern w:val="36"/>
                <w:sz w:val="28"/>
                <w:szCs w:val="28"/>
                <w:lang w:val="en-US"/>
              </w:rPr>
              <w:t>: prospective cohort study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D83C1E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 </w:t>
            </w:r>
            <w:hyperlink r:id="rId17" w:tgtFrame="_blank" w:history="1">
              <w:r w:rsidRPr="0016162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10.1136/bmj.l5894</w:t>
              </w:r>
            </w:hyperlink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D83C1E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C04AC" w:rsidRPr="00161622" w:rsidRDefault="00D83C1E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Casrouge</w:t>
            </w:r>
            <w:proofErr w:type="spellEnd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A., Sauer A.V., R. </w:t>
            </w:r>
            <w:proofErr w:type="spellStart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Barreira</w:t>
            </w:r>
            <w:proofErr w:type="spellEnd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da Silva R., </w:t>
            </w:r>
            <w:proofErr w:type="spellStart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Tejera</w:t>
            </w:r>
            <w:proofErr w:type="spellEnd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-Alhambra M., Sanchez-Ramon S., </w:t>
            </w:r>
            <w:proofErr w:type="spellStart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ICAReB</w:t>
            </w:r>
            <w:proofErr w:type="spellEnd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Cancrini</w:t>
            </w:r>
            <w:proofErr w:type="spellEnd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C., Ingersoll M.A., </w:t>
            </w:r>
            <w:proofErr w:type="spellStart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Aiuti</w:t>
            </w:r>
            <w:proofErr w:type="spellEnd"/>
            <w:r w:rsidRPr="00161622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A., Albert M.L. </w:t>
            </w: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Lymphocytes are a major source of circulating soluble dipeptidyl peptidase 4.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Clin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Exp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161622">
              <w:rPr>
                <w:rStyle w:val="cit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2018, Vol. 194, no. 2, pp. 166-179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D83C1E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1622">
              <w:rPr>
                <w:rStyle w:val="citation-doi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161622">
              <w:rPr>
                <w:rStyle w:val="citation-doi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10.1111/cei.13163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D83C1E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C04AC" w:rsidRPr="00161622" w:rsidRDefault="006872AF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Costa L.R., de Souza A.K.Y., School J.N.,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Figueiró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Battastini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A.M.O., Dos Santos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Jaques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J.A.,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Zanoelo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F.F. Biochemical characterization of adenosine deaminase (CD26; EC 3.5.4.4) activity in human lymphocyte-rich peripheral blood mononuclear cells</w:t>
            </w:r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Braz. J. Med. Biol. Res., 2021, Vol.54, no.8, pp.10850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6872AF" w:rsidRPr="006872AF" w:rsidRDefault="006872AF" w:rsidP="00D45B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872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d</w:t>
            </w:r>
            <w:r w:rsidR="00161622" w:rsidRPr="0016162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oi</w:t>
            </w:r>
            <w:proofErr w:type="spellEnd"/>
            <w:r w:rsidR="00161622" w:rsidRPr="0016162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: 10.1590/1414-431X2020e10850</w:t>
            </w:r>
            <w:r w:rsidRPr="006872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 </w:t>
            </w:r>
          </w:p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16162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7C04AC" w:rsidRPr="00161622" w:rsidRDefault="0016162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Cox J.R., Jennings M.,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Lenahan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Manion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Courville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Blazeck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Rational engineering of an improved adenosine deaminase 2 enzyme for </w:t>
            </w:r>
            <w:proofErr w:type="spellStart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weaponizing</w:t>
            </w:r>
            <w:proofErr w:type="spellEnd"/>
            <w:r w:rsidRPr="001616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T-cell therapies. </w:t>
            </w:r>
            <w:proofErr w:type="spellStart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Immunooncol</w:t>
            </w:r>
            <w:proofErr w:type="spellEnd"/>
            <w:r w:rsidRPr="0016162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Technol., 2023, Vol. 19, pp. 100394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61622" w:rsidRPr="00161622" w:rsidRDefault="00161622" w:rsidP="00D45B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616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doi</w:t>
            </w:r>
            <w:proofErr w:type="spellEnd"/>
            <w:proofErr w:type="gramEnd"/>
            <w:r w:rsidRPr="001616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10.1016/j.iotech.2023.100394.</w:t>
            </w:r>
          </w:p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BC2" w:rsidRPr="00161622" w:rsidTr="007C04AC">
        <w:tc>
          <w:tcPr>
            <w:tcW w:w="0" w:type="auto"/>
          </w:tcPr>
          <w:p w:rsidR="007C04AC" w:rsidRPr="00161622" w:rsidRDefault="0016162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7C04AC" w:rsidRPr="00021A8F" w:rsidRDefault="00021A8F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Chen L.,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Alabdullah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Mahnke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 Adenosine, bridging chronic inflammation and tumor growth. </w:t>
            </w:r>
            <w:r w:rsidRPr="00021A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r w:rsidRPr="00021A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021A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2023,  Vol.14, pp.125863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021A8F" w:rsidRPr="00021A8F" w:rsidRDefault="00021A8F" w:rsidP="00D45B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21A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doi</w:t>
            </w:r>
            <w:proofErr w:type="spellEnd"/>
            <w:r w:rsidRPr="00021A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10.3389/fimmu.2023.1258637</w:t>
            </w:r>
          </w:p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BC2" w:rsidRPr="00161622" w:rsidTr="007C04AC">
        <w:tc>
          <w:tcPr>
            <w:tcW w:w="0" w:type="auto"/>
          </w:tcPr>
          <w:p w:rsidR="007C04AC" w:rsidRPr="00021A8F" w:rsidRDefault="00021A8F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7C04AC" w:rsidRPr="00021A8F" w:rsidRDefault="00021A8F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Dheda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Gumbo T.,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Maartens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Dooley K.E., McNerney R., Murray M.,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Furin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Nardell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E.A., London L.,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Lessem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Theron G., Van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Helden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Niemann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Merker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Dowdy D., Van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Siu G.K.H.,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Pasipanodya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J.G., Rodrigues C., Clark T.G.,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Sirgel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F.A.,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Esmail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Lin H.-H.,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Atre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Sachin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Schaaf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H.S., Chang K.C., Lange C.,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Nahid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Udwadia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Z.F., Horsburgh C.R., Churchyard G.J., Menzies D.,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Hesseling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A.C.,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Nuermberger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McIlleron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Fennelly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K.P.,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Goemaere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Jaramillo E., Low Marcus,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C.M., </w:t>
            </w:r>
            <w:proofErr w:type="spellStart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Padayatchi</w:t>
            </w:r>
            <w:proofErr w:type="spell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Warren R.M.</w:t>
            </w:r>
            <w:proofErr w:type="gramEnd"/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epidemiology, pathogenesis, transmission, diagnosis, and management of multidrug-resistant, extensively drug-resistant, and incurable tuberculosis. </w:t>
            </w:r>
            <w:r w:rsidRPr="00021A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Lancet </w:t>
            </w:r>
            <w:proofErr w:type="spellStart"/>
            <w:r w:rsidRPr="00021A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Respir</w:t>
            </w:r>
            <w:proofErr w:type="spellEnd"/>
            <w:r w:rsidRPr="00021A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Med</w:t>
            </w:r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021A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2017, Vol. 5, pp. 291-360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021A8F" w:rsidRDefault="00021A8F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1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doi:10.1016/s2213-2600(17)30079-6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D65BC2" w:rsidRDefault="00D65BC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7C04AC" w:rsidRPr="00161622" w:rsidRDefault="00D65BC2" w:rsidP="00D45B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Franco R, Pacheco R, </w:t>
            </w:r>
            <w:proofErr w:type="spellStart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Gatell</w:t>
            </w:r>
            <w:proofErr w:type="spellEnd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JM, </w:t>
            </w:r>
            <w:proofErr w:type="spellStart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Gallart</w:t>
            </w:r>
            <w:proofErr w:type="spellEnd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T, </w:t>
            </w:r>
            <w:proofErr w:type="spellStart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Lluis</w:t>
            </w:r>
            <w:proofErr w:type="spellEnd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C. Enzymatic and </w:t>
            </w:r>
            <w:proofErr w:type="spellStart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extraenzymatic</w:t>
            </w:r>
            <w:proofErr w:type="spellEnd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role of adenosine deaminase 1 in T-cell-dendritic cell contacts and in alterations of the immune function. </w:t>
            </w:r>
            <w:proofErr w:type="spellStart"/>
            <w:r w:rsidRPr="00D65B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Crit</w:t>
            </w:r>
            <w:proofErr w:type="spellEnd"/>
            <w:r w:rsidRPr="00D65B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Rev </w:t>
            </w:r>
            <w:proofErr w:type="spellStart"/>
            <w:r w:rsidRPr="00D65B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Immunol</w:t>
            </w:r>
            <w:proofErr w:type="spellEnd"/>
            <w:r w:rsidRPr="00D65B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., 2007, Vol.27, no.6, pp. 495-509</w:t>
            </w:r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D65BC2" w:rsidRPr="00D65BC2" w:rsidRDefault="00D65BC2" w:rsidP="00D45B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doi</w:t>
            </w:r>
            <w:proofErr w:type="spellEnd"/>
            <w:proofErr w:type="gramEnd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10.1615/critrevimmunol.v27.i6.10. </w:t>
            </w:r>
          </w:p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BC2" w:rsidRPr="00161622" w:rsidTr="007C04AC">
        <w:tc>
          <w:tcPr>
            <w:tcW w:w="0" w:type="auto"/>
          </w:tcPr>
          <w:p w:rsidR="007C04AC" w:rsidRPr="00D65BC2" w:rsidRDefault="00D65BC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7C04AC" w:rsidRPr="00D65BC2" w:rsidRDefault="00D65BC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Hasko</w:t>
            </w:r>
            <w:proofErr w:type="spellEnd"/>
            <w:r w:rsidRPr="00D6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D6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Cronstein</w:t>
            </w:r>
            <w:proofErr w:type="spellEnd"/>
            <w:r w:rsidRPr="00D6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B.N. Adenosine: an endogenous regulator of innate immunity. </w:t>
            </w:r>
            <w:r w:rsidRPr="00D65BC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Trends </w:t>
            </w:r>
            <w:proofErr w:type="spellStart"/>
            <w:r w:rsidRPr="00D65BC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D65BC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2004, Vol.25, no. 1, pp.33-39.</w:t>
            </w:r>
            <w:r w:rsidRPr="00D6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61622" w:rsidRDefault="00D65BC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D6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10.1016/j.it.2003.11.003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D65BC2" w:rsidRDefault="00D65BC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7C04AC" w:rsidRPr="00161622" w:rsidRDefault="00D65BC2" w:rsidP="00D45B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Kaufmann S.H.E., </w:t>
            </w:r>
            <w:proofErr w:type="spellStart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Dorhoi</w:t>
            </w:r>
            <w:proofErr w:type="spellEnd"/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 Inflammation in tuberculosis: interactions, imbalances and interventions. </w:t>
            </w:r>
            <w:r w:rsidRPr="00D65B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Current Opinion in Immunology, 2013, Vol.25, no. 4, pp. 441-449.</w:t>
            </w:r>
            <w:r w:rsidRPr="00D65B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BB1DC2" w:rsidRDefault="00BB1DC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1DC2">
              <w:rPr>
                <w:rStyle w:val="citation-doi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BB1DC2">
              <w:rPr>
                <w:rStyle w:val="citation-doi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BB1D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10.1016/j.coi.2013.05.005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BB1DC2" w:rsidRDefault="00BB1DC2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4265">
              <w:rPr>
                <w:rFonts w:ascii="Times New Roman" w:eastAsia="URWPalladioL-Roma" w:hAnsi="Times New Roman" w:cs="Times New Roman"/>
                <w:sz w:val="28"/>
                <w:szCs w:val="28"/>
                <w:lang w:val="en-US"/>
              </w:rPr>
              <w:t>Kotrulev</w:t>
            </w:r>
            <w:proofErr w:type="spellEnd"/>
            <w:r w:rsidRPr="00554265">
              <w:rPr>
                <w:rFonts w:ascii="Times New Roman" w:eastAsia="URWPalladioL-Roma" w:hAnsi="Times New Roman" w:cs="Times New Roman"/>
                <w:sz w:val="28"/>
                <w:szCs w:val="28"/>
                <w:lang w:val="en-US"/>
              </w:rPr>
              <w:t xml:space="preserve"> M., Gomez-</w:t>
            </w:r>
            <w:proofErr w:type="spellStart"/>
            <w:r w:rsidRPr="00554265">
              <w:rPr>
                <w:rFonts w:ascii="Times New Roman" w:eastAsia="URWPalladioL-Roma" w:hAnsi="Times New Roman" w:cs="Times New Roman"/>
                <w:sz w:val="28"/>
                <w:szCs w:val="28"/>
                <w:lang w:val="en-US"/>
              </w:rPr>
              <w:t>Tourino</w:t>
            </w:r>
            <w:proofErr w:type="spellEnd"/>
            <w:r w:rsidRPr="00554265">
              <w:rPr>
                <w:rFonts w:ascii="Times New Roman" w:eastAsia="URWPalladioL-Roma" w:hAnsi="Times New Roman" w:cs="Times New Roman"/>
                <w:sz w:val="28"/>
                <w:szCs w:val="28"/>
                <w:lang w:val="en-US"/>
              </w:rPr>
              <w:t xml:space="preserve"> I., Cordero O.J. Soluble CD26: From Suggested Biomarker for Cancer Diagnosis to Plausible Marker for Dynamic Monitoring of Immunotherapy. </w:t>
            </w:r>
            <w:r w:rsidRPr="00554265">
              <w:rPr>
                <w:rFonts w:ascii="Times New Roman" w:eastAsia="URWPalladioL-Ital" w:hAnsi="Times New Roman" w:cs="Times New Roman"/>
                <w:i/>
                <w:sz w:val="28"/>
                <w:szCs w:val="28"/>
                <w:lang w:val="en-US"/>
              </w:rPr>
              <w:t xml:space="preserve">Cancers, </w:t>
            </w:r>
            <w:r w:rsidRPr="00554265">
              <w:rPr>
                <w:rFonts w:ascii="Times New Roman" w:eastAsia="URWPalladioL-Bold" w:hAnsi="Times New Roman" w:cs="Times New Roman"/>
                <w:bCs/>
                <w:i/>
                <w:sz w:val="28"/>
                <w:szCs w:val="28"/>
                <w:lang w:val="en-US"/>
              </w:rPr>
              <w:t>2024</w:t>
            </w:r>
            <w:r w:rsidRPr="00554265">
              <w:rPr>
                <w:rFonts w:ascii="Times New Roman" w:eastAsia="URWPalladioL-Roma" w:hAnsi="Times New Roman" w:cs="Times New Roman"/>
                <w:i/>
                <w:sz w:val="28"/>
                <w:szCs w:val="28"/>
                <w:lang w:val="en-US"/>
              </w:rPr>
              <w:t>, Vol.</w:t>
            </w:r>
            <w:r w:rsidRPr="00554265">
              <w:rPr>
                <w:rFonts w:ascii="Times New Roman" w:eastAsia="URWPalladioL-Ital" w:hAnsi="Times New Roman" w:cs="Times New Roman"/>
                <w:i/>
                <w:sz w:val="28"/>
                <w:szCs w:val="28"/>
                <w:lang w:val="en-US"/>
              </w:rPr>
              <w:t>16</w:t>
            </w:r>
            <w:r w:rsidRPr="00554265">
              <w:rPr>
                <w:rFonts w:ascii="Times New Roman" w:eastAsia="URWPalladioL-Roma" w:hAnsi="Times New Roman" w:cs="Times New Roman"/>
                <w:i/>
                <w:sz w:val="28"/>
                <w:szCs w:val="28"/>
                <w:lang w:val="en-US"/>
              </w:rPr>
              <w:t>, no.13, pp. 2427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265">
              <w:rPr>
                <w:rFonts w:ascii="Times New Roman" w:eastAsia="URWPalladioL-Roma" w:hAnsi="Times New Roman" w:cs="Times New Roman"/>
                <w:sz w:val="28"/>
                <w:szCs w:val="28"/>
                <w:lang w:val="en-US"/>
              </w:rPr>
              <w:t>doi:10.3390/cancers16132427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42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 H.-J., Jong Sun Park J.S., Cho Y.-J., Yoon H.I., Park K.U., Lee C.-T., Lee J.H. CD4</w:t>
            </w:r>
            <w:r w:rsidRPr="005542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5542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FoxP3</w:t>
            </w:r>
            <w:r w:rsidRPr="005542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5542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regulatory cells in drug-susceptible and multidrug-resistant tuberculosis. </w:t>
            </w:r>
            <w:r w:rsidRPr="005542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Tuberculosis, 2013, Vol.93, no. 5, pp.523-8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554265" w:rsidRPr="00554265" w:rsidRDefault="00554265" w:rsidP="00D45B80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5426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doi</w:t>
            </w:r>
            <w:proofErr w:type="spellEnd"/>
            <w:r w:rsidRPr="0055426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: 10.1016/j.tube.2013.06.001 </w:t>
            </w:r>
            <w:r w:rsidRPr="005542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BC2" w:rsidRPr="00161622" w:rsidTr="007C04AC"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4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Ohta</w:t>
            </w:r>
            <w:proofErr w:type="spellEnd"/>
            <w:r w:rsidRPr="00554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 A metabolic immune checkpoint: adenosine in tumor microenvironment. Front. </w:t>
            </w:r>
            <w:proofErr w:type="spellStart"/>
            <w:r w:rsidRPr="00554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Immunol</w:t>
            </w:r>
            <w:proofErr w:type="spellEnd"/>
            <w:r w:rsidRPr="00554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554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2016, Vol.29, no 7, pp. 109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4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554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10.3389/fimmu.2016.00109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554265" w:rsidRDefault="00554265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7C04AC" w:rsidRPr="00D45B80" w:rsidRDefault="00D45B8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Sampath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Rajamanickam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Thiruvengadam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K., Natarajan A.P.,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Hissar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Dhanapal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Thangavelu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Jayabal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L., Ramesh P.M., Devi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Ranganathan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Babu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Bethunaickan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 xml:space="preserve"> R. Cytokine upsurge among drug‑resistant tuberculosis endorse the signatures of hyper inflammation and disease severity. </w:t>
            </w:r>
            <w:r w:rsidRPr="00D45B80">
              <w:rPr>
                <w:rFonts w:ascii="Times New Roman" w:eastAsia="Corbel-Bold" w:hAnsi="Times New Roman" w:cs="Times New Roman"/>
                <w:bCs/>
                <w:i/>
                <w:sz w:val="28"/>
                <w:szCs w:val="28"/>
                <w:lang w:val="en-US"/>
              </w:rPr>
              <w:t>Scientific Reports, 2023, Vol.13, pp.785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D45B80" w:rsidRDefault="00D45B8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doi</w:t>
            </w:r>
            <w:proofErr w:type="spellEnd"/>
            <w:r w:rsidRPr="00D45B80">
              <w:rPr>
                <w:rFonts w:ascii="Times New Roman" w:eastAsia="Corbel-Bold" w:hAnsi="Times New Roman" w:cs="Times New Roman"/>
                <w:bCs/>
                <w:sz w:val="28"/>
                <w:szCs w:val="28"/>
                <w:lang w:val="en-US"/>
              </w:rPr>
              <w:t>: 10.1038/s41598-023-27895-8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D45B80" w:rsidRDefault="00D45B8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7C04AC" w:rsidRPr="00D45B80" w:rsidRDefault="00D45B8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Tadokoro H., Hirayama A., Kudo R.,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Hasebe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Yoshioka Y.,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Matsuzaki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r w:rsidRPr="00D45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18" w:history="1">
              <w:r w:rsidRPr="00D45B80">
                <w:rPr>
                  <w:rStyle w:val="name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Yamamoto</w:t>
              </w:r>
            </w:hyperlink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</w:t>
            </w:r>
            <w:r w:rsidRPr="00D45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19" w:history="1">
              <w:r w:rsidRPr="00D45B80">
                <w:rPr>
                  <w:rStyle w:val="name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Sugimoto</w:t>
              </w:r>
            </w:hyperlink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  <w:r w:rsidRPr="00D45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20" w:history="1">
              <w:r w:rsidRPr="00D45B80">
                <w:rPr>
                  <w:rStyle w:val="name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Soga</w:t>
              </w:r>
            </w:hyperlink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hyperlink r:id="rId21" w:history="1">
              <w:proofErr w:type="spellStart"/>
              <w:r w:rsidRPr="00D45B80">
                <w:rPr>
                  <w:rStyle w:val="name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Ochiya</w:t>
              </w:r>
              <w:proofErr w:type="spellEnd"/>
            </w:hyperlink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</w:t>
            </w:r>
            <w:r w:rsidRPr="00D45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Adenosine leakage from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perforin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-burst extracellular vesicles inhibits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perforin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secretion by cytotoxic T-lymphocytes. </w:t>
            </w:r>
            <w:proofErr w:type="spellStart"/>
            <w:r w:rsidRPr="00D45B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PLoS</w:t>
            </w:r>
            <w:proofErr w:type="spellEnd"/>
            <w:r w:rsidRPr="00D45B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ONE, 2020, Vol. 15, no. 4, pp. e0231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430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D45B80" w:rsidRDefault="00D45B8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Pr="00D45B8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doi.org/10.1371/journal.pone.0231430</w:t>
              </w:r>
            </w:hyperlink>
          </w:p>
        </w:tc>
      </w:tr>
      <w:tr w:rsidR="00D65BC2" w:rsidRPr="00161622" w:rsidTr="007C04AC">
        <w:tc>
          <w:tcPr>
            <w:tcW w:w="0" w:type="auto"/>
          </w:tcPr>
          <w:p w:rsidR="007C04AC" w:rsidRPr="00D45B80" w:rsidRDefault="00D45B8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7C04AC" w:rsidRPr="00D45B80" w:rsidRDefault="00D45B80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Zavialov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A.V,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Gracia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Glaichenhaus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Franco R.,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Zavialov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Lauvau</w:t>
            </w:r>
            <w:proofErr w:type="spellEnd"/>
            <w:r w:rsidRPr="00D45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Human adenosine deaminase 2 induces differentiation of monocytes into macrophages and stimulates proliferation of T helper cells and macrophages. </w:t>
            </w:r>
            <w:r w:rsidRPr="00D45B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of Leukocyte Biology, 2010, vol. 88, no. 2, pp. 279-290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1B4693" w:rsidRDefault="001B469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oi</w:t>
            </w:r>
            <w:proofErr w:type="spellEnd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10.1189/jlb.1109764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B4693" w:rsidRDefault="001B469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7C04AC" w:rsidRPr="001B4693" w:rsidRDefault="001B469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Zavialov</w:t>
            </w:r>
            <w:proofErr w:type="spellEnd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A.V., Yu X., </w:t>
            </w:r>
            <w:proofErr w:type="spellStart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Spillmann</w:t>
            </w:r>
            <w:proofErr w:type="spellEnd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D., </w:t>
            </w:r>
            <w:proofErr w:type="spellStart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Lauvau</w:t>
            </w:r>
            <w:proofErr w:type="spellEnd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G., </w:t>
            </w:r>
            <w:proofErr w:type="spellStart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Zavialov</w:t>
            </w:r>
            <w:proofErr w:type="spellEnd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A.V. Structural basis for the growth factor activity of human adenosine deaminase ADA2. </w:t>
            </w:r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J </w:t>
            </w:r>
            <w:proofErr w:type="spellStart"/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Biol</w:t>
            </w:r>
            <w:proofErr w:type="spellEnd"/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Chem</w:t>
            </w:r>
            <w:proofErr w:type="spellEnd"/>
            <w:proofErr w:type="gramStart"/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,.</w:t>
            </w:r>
            <w:proofErr w:type="gramEnd"/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2010, Vol.285, no. 16, pp. 12367-77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7C04AC" w:rsidRPr="001B4693" w:rsidRDefault="001B469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1B4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 10.1074/jbc.M109.083527</w:t>
            </w:r>
          </w:p>
        </w:tc>
      </w:tr>
      <w:tr w:rsidR="00D65BC2" w:rsidRPr="00161622" w:rsidTr="007C04AC">
        <w:tc>
          <w:tcPr>
            <w:tcW w:w="0" w:type="auto"/>
          </w:tcPr>
          <w:p w:rsidR="007C04AC" w:rsidRPr="001B4693" w:rsidRDefault="001B469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7C04AC" w:rsidRPr="001B4693" w:rsidRDefault="001B469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Zhang T., Tong X., Zhang S., Wang D., Wang L., Wang Q., Fan H. The roles of dipeptidyl peptidase 4 (DPP4) and DPP4 inhibitors in different lung diseases: new evidence. </w:t>
            </w:r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Front. </w:t>
            </w:r>
            <w:proofErr w:type="spellStart"/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Pharmacol</w:t>
            </w:r>
            <w:proofErr w:type="spellEnd"/>
            <w:r w:rsidRPr="001B469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2021, Vol. 12, pp. 731453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1B4693" w:rsidRPr="001B4693" w:rsidRDefault="001B4693" w:rsidP="001B4693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B46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doi</w:t>
            </w:r>
            <w:proofErr w:type="spellEnd"/>
            <w:r w:rsidRPr="001B46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10.3389/fphar.2021.731453</w:t>
            </w:r>
          </w:p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BC2" w:rsidRPr="00161622" w:rsidTr="007C04AC">
        <w:tc>
          <w:tcPr>
            <w:tcW w:w="0" w:type="auto"/>
          </w:tcPr>
          <w:p w:rsidR="007C04AC" w:rsidRPr="001B4693" w:rsidRDefault="001B4693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7C04AC" w:rsidRPr="003E00A9" w:rsidRDefault="003E00A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Zhulai</w:t>
            </w:r>
            <w:proofErr w:type="spellEnd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Oleinik</w:t>
            </w:r>
            <w:proofErr w:type="spellEnd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Shibaev</w:t>
            </w:r>
            <w:proofErr w:type="spellEnd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M., </w:t>
            </w:r>
            <w:proofErr w:type="spellStart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Ignatev</w:t>
            </w:r>
            <w:proofErr w:type="spellEnd"/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 Adenosine-metabolizing enzymes, adenosine kinase and adenosine deaminase, in cancer. </w:t>
            </w:r>
            <w:r w:rsidRPr="003E00A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Biomolecules, 2022, Vol.12, no.3, pp. 418</w:t>
            </w:r>
          </w:p>
        </w:tc>
        <w:tc>
          <w:tcPr>
            <w:tcW w:w="0" w:type="auto"/>
          </w:tcPr>
          <w:p w:rsidR="007C04AC" w:rsidRPr="00161622" w:rsidRDefault="007C04AC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7C04AC" w:rsidRPr="003E00A9" w:rsidRDefault="003E00A9" w:rsidP="00D45B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doi.org/10.3390/biom12030418</w:t>
            </w:r>
          </w:p>
        </w:tc>
      </w:tr>
    </w:tbl>
    <w:p w:rsidR="00E7502A" w:rsidRPr="00161622" w:rsidRDefault="00E7502A" w:rsidP="00D45B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7502A" w:rsidRPr="00161622" w:rsidSect="007C04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URWPalladioL-Rom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PalladioL-Ital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PalladioL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rbel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17E"/>
    <w:multiLevelType w:val="hybridMultilevel"/>
    <w:tmpl w:val="20FA77BA"/>
    <w:lvl w:ilvl="0" w:tplc="78DE7A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EA"/>
    <w:rsid w:val="00021A8F"/>
    <w:rsid w:val="00161622"/>
    <w:rsid w:val="001B4693"/>
    <w:rsid w:val="003E00A9"/>
    <w:rsid w:val="00467213"/>
    <w:rsid w:val="00554265"/>
    <w:rsid w:val="00677889"/>
    <w:rsid w:val="006872AF"/>
    <w:rsid w:val="006F21EA"/>
    <w:rsid w:val="007C04AC"/>
    <w:rsid w:val="008A48EA"/>
    <w:rsid w:val="00B23E99"/>
    <w:rsid w:val="00B55970"/>
    <w:rsid w:val="00BB1DC2"/>
    <w:rsid w:val="00D45B80"/>
    <w:rsid w:val="00D65BC2"/>
    <w:rsid w:val="00D83C1E"/>
    <w:rsid w:val="00E7502A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5504"/>
  <w15:chartTrackingRefBased/>
  <w15:docId w15:val="{AB0FC3D4-0C07-46E1-BD79-245CFEC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">
    <w:name w:val="cit"/>
    <w:rsid w:val="00B23E99"/>
  </w:style>
  <w:style w:type="character" w:customStyle="1" w:styleId="citation-doi">
    <w:name w:val="citation-doi"/>
    <w:rsid w:val="00B23E99"/>
  </w:style>
  <w:style w:type="character" w:customStyle="1" w:styleId="name">
    <w:name w:val="name"/>
    <w:rsid w:val="00D45B80"/>
  </w:style>
  <w:style w:type="character" w:styleId="a4">
    <w:name w:val="Hyperlink"/>
    <w:uiPriority w:val="99"/>
    <w:unhideWhenUsed/>
    <w:rsid w:val="00D45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Calderon%20R%5BAuthor%5D" TargetMode="External"/><Relationship Id="rId13" Type="http://schemas.openxmlformats.org/officeDocument/2006/relationships/hyperlink" Target="https://pubmed.ncbi.nlm.nih.gov/?term=Cohen%20T%5BAuthor%5D" TargetMode="External"/><Relationship Id="rId18" Type="http://schemas.openxmlformats.org/officeDocument/2006/relationships/hyperlink" Target="https://pubmed.ncbi.nlm.nih.gov/?term=%22Yamamoto%20Y%22%5BAuthor%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%22Ochiya%20T%22%5BAuthor%5D" TargetMode="External"/><Relationship Id="rId7" Type="http://schemas.openxmlformats.org/officeDocument/2006/relationships/hyperlink" Target="https://pubmed.ncbi.nlm.nih.gov/?term=Contreras%20C%5BAuthor%5D" TargetMode="External"/><Relationship Id="rId12" Type="http://schemas.openxmlformats.org/officeDocument/2006/relationships/hyperlink" Target="https://pubmed.ncbi.nlm.nih.gov/?term=Atwood%20S%5BAuthor%5D" TargetMode="External"/><Relationship Id="rId17" Type="http://schemas.openxmlformats.org/officeDocument/2006/relationships/hyperlink" Target="https://doi.org/10.1136%2Fbmj.l58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Murray%20M%5BAuthor%5D" TargetMode="External"/><Relationship Id="rId20" Type="http://schemas.openxmlformats.org/officeDocument/2006/relationships/hyperlink" Target="https://pubmed.ncbi.nlm.nih.gov/?term=%22Soga%20T%22%5BAuthor%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Huang%20CC%5BAuthor%5D" TargetMode="External"/><Relationship Id="rId11" Type="http://schemas.openxmlformats.org/officeDocument/2006/relationships/hyperlink" Target="https://pubmed.ncbi.nlm.nih.gov/?term=Zhang%20Z%5BAuthor%5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ubmed.ncbi.nlm.nih.gov/?term=Becerra%20MC%5BAuthor%5D" TargetMode="External"/><Relationship Id="rId15" Type="http://schemas.openxmlformats.org/officeDocument/2006/relationships/hyperlink" Target="https://pubmed.ncbi.nlm.nih.gov/?term=Farmer%20P%5BAuthor%5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ubmed.ncbi.nlm.nih.gov/?term=Galea%20J%5BAuthor%5D" TargetMode="External"/><Relationship Id="rId19" Type="http://schemas.openxmlformats.org/officeDocument/2006/relationships/hyperlink" Target="https://pubmed.ncbi.nlm.nih.gov/?term=%22Sugimoto%20M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Yataco%20R%5BAuthor%5D" TargetMode="External"/><Relationship Id="rId14" Type="http://schemas.openxmlformats.org/officeDocument/2006/relationships/hyperlink" Target="https://pubmed.ncbi.nlm.nih.gov/?term=Mitnick%20CD%5BAuthor%5D" TargetMode="External"/><Relationship Id="rId22" Type="http://schemas.openxmlformats.org/officeDocument/2006/relationships/hyperlink" Target="https://doi.org/10.1371/journal.pone.0231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Марина Евгеньевна</dc:creator>
  <cp:keywords/>
  <dc:description/>
  <cp:lastModifiedBy>Дьякова Марина Евгеньевна</cp:lastModifiedBy>
  <cp:revision>2</cp:revision>
  <dcterms:created xsi:type="dcterms:W3CDTF">2025-01-14T14:28:00Z</dcterms:created>
  <dcterms:modified xsi:type="dcterms:W3CDTF">2025-01-14T14:28:00Z</dcterms:modified>
</cp:coreProperties>
</file>