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414" w:rsidRPr="009F5414" w:rsidRDefault="009F5414" w:rsidP="009F5414">
      <w:pPr>
        <w:autoSpaceDE w:val="0"/>
        <w:autoSpaceDN w:val="0"/>
        <w:adjustRightInd w:val="0"/>
        <w:spacing w:after="160"/>
        <w:jc w:val="both"/>
        <w:rPr>
          <w:rFonts w:eastAsia="PragmaticaC"/>
          <w:b/>
          <w:sz w:val="28"/>
          <w:szCs w:val="28"/>
          <w:lang w:eastAsia="en-US"/>
        </w:rPr>
      </w:pPr>
      <w:r w:rsidRPr="009F5414">
        <w:rPr>
          <w:rFonts w:eastAsia="PragmaticaC"/>
          <w:b/>
          <w:sz w:val="28"/>
          <w:szCs w:val="28"/>
          <w:lang w:eastAsia="en-US"/>
        </w:rPr>
        <w:t xml:space="preserve">Ферменты пуринового метаболизма и </w:t>
      </w:r>
      <w:proofErr w:type="spellStart"/>
      <w:r w:rsidRPr="009F5414">
        <w:rPr>
          <w:rFonts w:eastAsia="PragmaticaC"/>
          <w:b/>
          <w:sz w:val="28"/>
          <w:szCs w:val="28"/>
          <w:lang w:eastAsia="en-US"/>
        </w:rPr>
        <w:t>субпопуляции</w:t>
      </w:r>
      <w:proofErr w:type="spellEnd"/>
      <w:r w:rsidRPr="009F5414">
        <w:rPr>
          <w:rFonts w:eastAsia="PragmaticaC"/>
          <w:b/>
          <w:sz w:val="28"/>
          <w:szCs w:val="28"/>
          <w:lang w:eastAsia="en-US"/>
        </w:rPr>
        <w:t xml:space="preserve"> лимфоцитов у больных лекарственно-чувствительным и лекарственно-устойчивым инфильтративным туберкулезом легких </w:t>
      </w:r>
    </w:p>
    <w:p w:rsidR="009F5414" w:rsidRDefault="009F5414" w:rsidP="006D3B57">
      <w:pPr>
        <w:autoSpaceDE w:val="0"/>
        <w:autoSpaceDN w:val="0"/>
        <w:adjustRightInd w:val="0"/>
        <w:ind w:firstLine="708"/>
        <w:jc w:val="both"/>
        <w:rPr>
          <w:sz w:val="28"/>
          <w:szCs w:val="28"/>
        </w:rPr>
      </w:pPr>
    </w:p>
    <w:p w:rsidR="006D3B57" w:rsidRPr="00112040" w:rsidRDefault="005372AC" w:rsidP="006D3B57">
      <w:pPr>
        <w:autoSpaceDE w:val="0"/>
        <w:autoSpaceDN w:val="0"/>
        <w:adjustRightInd w:val="0"/>
        <w:ind w:firstLine="708"/>
        <w:jc w:val="both"/>
        <w:rPr>
          <w:sz w:val="28"/>
          <w:szCs w:val="28"/>
        </w:rPr>
      </w:pPr>
      <w:r w:rsidRPr="00112040">
        <w:rPr>
          <w:sz w:val="28"/>
          <w:szCs w:val="28"/>
        </w:rPr>
        <w:t xml:space="preserve">Клиническое течение туберкулеза и в конечном итоге его клинический исход обусловлены сложным взаимодействием между </w:t>
      </w:r>
      <w:r w:rsidRPr="00112040">
        <w:rPr>
          <w:i/>
          <w:sz w:val="28"/>
          <w:szCs w:val="28"/>
          <w:lang w:val="en-US"/>
        </w:rPr>
        <w:t>Mycobacterium</w:t>
      </w:r>
      <w:r w:rsidRPr="00112040">
        <w:rPr>
          <w:i/>
          <w:sz w:val="28"/>
          <w:szCs w:val="28"/>
        </w:rPr>
        <w:t xml:space="preserve"> </w:t>
      </w:r>
      <w:r w:rsidRPr="00112040">
        <w:rPr>
          <w:i/>
          <w:sz w:val="28"/>
          <w:szCs w:val="28"/>
          <w:lang w:val="en-US"/>
        </w:rPr>
        <w:t>tuberculosis</w:t>
      </w:r>
      <w:r w:rsidRPr="00112040">
        <w:rPr>
          <w:sz w:val="28"/>
          <w:szCs w:val="28"/>
        </w:rPr>
        <w:t xml:space="preserve"> (</w:t>
      </w:r>
      <w:proofErr w:type="spellStart"/>
      <w:r w:rsidRPr="009B14F6">
        <w:rPr>
          <w:i/>
          <w:sz w:val="28"/>
          <w:szCs w:val="28"/>
          <w:lang w:val="en-US"/>
        </w:rPr>
        <w:t>Mtb</w:t>
      </w:r>
      <w:proofErr w:type="spellEnd"/>
      <w:r w:rsidRPr="00112040">
        <w:rPr>
          <w:sz w:val="28"/>
          <w:szCs w:val="28"/>
        </w:rPr>
        <w:t xml:space="preserve">) и иммунными клетками хозяина. </w:t>
      </w:r>
      <w:r w:rsidRPr="00112040">
        <w:rPr>
          <w:b/>
          <w:sz w:val="28"/>
          <w:szCs w:val="28"/>
        </w:rPr>
        <w:t>Цель</w:t>
      </w:r>
      <w:r w:rsidRPr="00112040">
        <w:rPr>
          <w:sz w:val="28"/>
          <w:szCs w:val="28"/>
        </w:rPr>
        <w:t xml:space="preserve"> настоящего исследования – оценить состояние ферментов </w:t>
      </w:r>
      <w:proofErr w:type="spellStart"/>
      <w:r w:rsidRPr="00112040">
        <w:rPr>
          <w:sz w:val="28"/>
          <w:szCs w:val="28"/>
        </w:rPr>
        <w:t>пуринергической</w:t>
      </w:r>
      <w:proofErr w:type="spellEnd"/>
      <w:r w:rsidRPr="00112040">
        <w:rPr>
          <w:sz w:val="28"/>
          <w:szCs w:val="28"/>
        </w:rPr>
        <w:t xml:space="preserve"> системы и </w:t>
      </w:r>
      <w:proofErr w:type="spellStart"/>
      <w:r w:rsidRPr="00112040">
        <w:rPr>
          <w:sz w:val="28"/>
          <w:szCs w:val="28"/>
        </w:rPr>
        <w:t>субпопуляционный</w:t>
      </w:r>
      <w:proofErr w:type="spellEnd"/>
      <w:r w:rsidRPr="00112040">
        <w:rPr>
          <w:sz w:val="28"/>
          <w:szCs w:val="28"/>
        </w:rPr>
        <w:t xml:space="preserve"> состав лимфоцитов у больных с </w:t>
      </w:r>
      <w:r w:rsidRPr="00112040">
        <w:rPr>
          <w:rFonts w:eastAsia="PragmaticaC"/>
          <w:sz w:val="28"/>
          <w:szCs w:val="28"/>
          <w:lang w:eastAsia="en-US"/>
        </w:rPr>
        <w:t xml:space="preserve">впервые выявленным инфильтративным туберкулезом легких в зависимости </w:t>
      </w:r>
      <w:r w:rsidRPr="00112040">
        <w:rPr>
          <w:sz w:val="28"/>
          <w:szCs w:val="28"/>
        </w:rPr>
        <w:t xml:space="preserve">от лекарственной устойчивости </w:t>
      </w:r>
      <w:proofErr w:type="spellStart"/>
      <w:r w:rsidR="009B14F6" w:rsidRPr="009B14F6">
        <w:rPr>
          <w:i/>
          <w:sz w:val="28"/>
          <w:szCs w:val="28"/>
          <w:lang w:val="en-US"/>
        </w:rPr>
        <w:t>Mtb</w:t>
      </w:r>
      <w:proofErr w:type="spellEnd"/>
      <w:r w:rsidR="009B14F6" w:rsidRPr="00112040">
        <w:rPr>
          <w:sz w:val="28"/>
          <w:szCs w:val="28"/>
        </w:rPr>
        <w:t xml:space="preserve"> </w:t>
      </w:r>
      <w:r w:rsidRPr="00112040">
        <w:rPr>
          <w:sz w:val="28"/>
          <w:szCs w:val="28"/>
        </w:rPr>
        <w:t>к противотуберкулезным препаратам.</w:t>
      </w:r>
      <w:r w:rsidRPr="005372AC">
        <w:rPr>
          <w:sz w:val="28"/>
          <w:szCs w:val="28"/>
        </w:rPr>
        <w:t xml:space="preserve"> </w:t>
      </w:r>
      <w:r w:rsidR="008E1E3A" w:rsidRPr="00827CFE">
        <w:rPr>
          <w:rFonts w:eastAsia="Calibri"/>
          <w:b/>
          <w:bCs/>
          <w:sz w:val="28"/>
          <w:szCs w:val="28"/>
        </w:rPr>
        <w:t>Материалы и методы</w:t>
      </w:r>
      <w:r w:rsidR="008E1E3A">
        <w:rPr>
          <w:rFonts w:eastAsia="Calibri"/>
          <w:b/>
          <w:bCs/>
          <w:sz w:val="28"/>
          <w:szCs w:val="28"/>
        </w:rPr>
        <w:t xml:space="preserve">. </w:t>
      </w:r>
      <w:r w:rsidR="008E1E3A" w:rsidRPr="00D92980">
        <w:rPr>
          <w:rFonts w:eastAsia="Calibri"/>
          <w:bCs/>
          <w:sz w:val="28"/>
          <w:szCs w:val="28"/>
        </w:rPr>
        <w:t>У</w:t>
      </w:r>
      <w:r w:rsidR="008E1E3A">
        <w:rPr>
          <w:rFonts w:eastAsia="Calibri"/>
          <w:b/>
          <w:bCs/>
          <w:sz w:val="28"/>
          <w:szCs w:val="28"/>
        </w:rPr>
        <w:t xml:space="preserve"> </w:t>
      </w:r>
      <w:r w:rsidR="00082C05">
        <w:rPr>
          <w:rFonts w:eastAsia="Calibri"/>
          <w:sz w:val="28"/>
          <w:szCs w:val="28"/>
        </w:rPr>
        <w:t>109</w:t>
      </w:r>
      <w:r w:rsidR="008E1E3A" w:rsidRPr="008E1E3A">
        <w:rPr>
          <w:rFonts w:eastAsia="Calibri"/>
          <w:sz w:val="28"/>
          <w:szCs w:val="28"/>
        </w:rPr>
        <w:t xml:space="preserve"> </w:t>
      </w:r>
      <w:r w:rsidR="008E1E3A" w:rsidRPr="00A65BF7">
        <w:rPr>
          <w:rFonts w:eastAsia="Calibri"/>
          <w:sz w:val="28"/>
          <w:szCs w:val="28"/>
        </w:rPr>
        <w:t>больн</w:t>
      </w:r>
      <w:r w:rsidR="00082C05">
        <w:rPr>
          <w:rFonts w:eastAsia="Calibri"/>
          <w:sz w:val="28"/>
          <w:szCs w:val="28"/>
        </w:rPr>
        <w:t>ых</w:t>
      </w:r>
      <w:r w:rsidR="008E1E3A" w:rsidRPr="00827CFE">
        <w:rPr>
          <w:rFonts w:eastAsia="Calibri"/>
          <w:sz w:val="28"/>
          <w:szCs w:val="28"/>
        </w:rPr>
        <w:t xml:space="preserve"> с </w:t>
      </w:r>
      <w:r w:rsidR="008E1E3A">
        <w:rPr>
          <w:rFonts w:eastAsia="Calibri"/>
          <w:sz w:val="28"/>
          <w:szCs w:val="28"/>
        </w:rPr>
        <w:t>ИТЛ</w:t>
      </w:r>
      <w:r w:rsidR="00C35104">
        <w:rPr>
          <w:rFonts w:eastAsia="Calibri"/>
          <w:sz w:val="28"/>
          <w:szCs w:val="28"/>
        </w:rPr>
        <w:t xml:space="preserve">, вызванного </w:t>
      </w:r>
      <w:r w:rsidR="00C35104" w:rsidRPr="00C35104">
        <w:rPr>
          <w:rFonts w:eastAsiaTheme="minorHAnsi"/>
          <w:sz w:val="28"/>
          <w:szCs w:val="28"/>
          <w:lang w:eastAsia="en-US"/>
        </w:rPr>
        <w:t>лекарственно</w:t>
      </w:r>
      <w:r w:rsidR="00C35104">
        <w:rPr>
          <w:rFonts w:eastAsiaTheme="minorHAnsi"/>
          <w:sz w:val="28"/>
          <w:szCs w:val="28"/>
          <w:lang w:eastAsia="en-US"/>
        </w:rPr>
        <w:t>-</w:t>
      </w:r>
      <w:r w:rsidR="00C35104" w:rsidRPr="00C35104">
        <w:rPr>
          <w:rFonts w:eastAsiaTheme="minorHAnsi"/>
          <w:sz w:val="28"/>
          <w:szCs w:val="28"/>
          <w:lang w:eastAsia="en-US"/>
        </w:rPr>
        <w:t xml:space="preserve">устойчивыми и </w:t>
      </w:r>
      <w:r w:rsidR="00C35104">
        <w:rPr>
          <w:rFonts w:eastAsiaTheme="minorHAnsi"/>
          <w:sz w:val="28"/>
          <w:szCs w:val="28"/>
          <w:lang w:eastAsia="en-US"/>
        </w:rPr>
        <w:t>л</w:t>
      </w:r>
      <w:r w:rsidR="00C35104" w:rsidRPr="00C35104">
        <w:rPr>
          <w:rFonts w:eastAsiaTheme="minorHAnsi"/>
          <w:sz w:val="28"/>
          <w:szCs w:val="28"/>
          <w:lang w:eastAsia="en-US"/>
        </w:rPr>
        <w:t>екарственно</w:t>
      </w:r>
      <w:r w:rsidR="00C35104">
        <w:rPr>
          <w:rFonts w:eastAsiaTheme="minorHAnsi"/>
          <w:sz w:val="28"/>
          <w:szCs w:val="28"/>
          <w:lang w:eastAsia="en-US"/>
        </w:rPr>
        <w:t>-</w:t>
      </w:r>
      <w:r w:rsidR="00C35104" w:rsidRPr="00C35104">
        <w:rPr>
          <w:rFonts w:eastAsiaTheme="minorHAnsi"/>
          <w:sz w:val="28"/>
          <w:szCs w:val="28"/>
          <w:lang w:eastAsia="en-US"/>
        </w:rPr>
        <w:t xml:space="preserve">чувствительными штаммами </w:t>
      </w:r>
      <w:proofErr w:type="spellStart"/>
      <w:r w:rsidR="003C5206" w:rsidRPr="009B14F6">
        <w:rPr>
          <w:rFonts w:eastAsiaTheme="minorHAnsi"/>
          <w:i/>
          <w:iCs/>
          <w:sz w:val="28"/>
          <w:szCs w:val="28"/>
          <w:lang w:val="en-US" w:eastAsia="en-US"/>
        </w:rPr>
        <w:t>Mtb</w:t>
      </w:r>
      <w:proofErr w:type="spellEnd"/>
      <w:r w:rsidR="003C5206">
        <w:rPr>
          <w:rFonts w:eastAsiaTheme="minorHAnsi"/>
          <w:iCs/>
          <w:sz w:val="28"/>
          <w:szCs w:val="28"/>
          <w:lang w:eastAsia="en-US"/>
        </w:rPr>
        <w:t xml:space="preserve">, достигших значительного или менее выраженного улучшения после проведения </w:t>
      </w:r>
      <w:r w:rsidR="00DA275F">
        <w:rPr>
          <w:rFonts w:eastAsiaTheme="minorHAnsi"/>
          <w:iCs/>
          <w:sz w:val="28"/>
          <w:szCs w:val="28"/>
          <w:lang w:eastAsia="en-US"/>
        </w:rPr>
        <w:t>интенсивной фазы химиотерапии, до начала лечения оце</w:t>
      </w:r>
      <w:r w:rsidR="008E1E3A" w:rsidRPr="00827CFE">
        <w:rPr>
          <w:rFonts w:eastAsia="Calibri"/>
          <w:sz w:val="28"/>
          <w:szCs w:val="28"/>
        </w:rPr>
        <w:t>нивали активност</w:t>
      </w:r>
      <w:r w:rsidR="008E1E3A">
        <w:rPr>
          <w:rFonts w:eastAsia="Calibri"/>
          <w:sz w:val="28"/>
          <w:szCs w:val="28"/>
        </w:rPr>
        <w:t>ь</w:t>
      </w:r>
      <w:r w:rsidR="008E1E3A" w:rsidRPr="00827CFE">
        <w:rPr>
          <w:rFonts w:eastAsia="Calibri"/>
          <w:sz w:val="28"/>
          <w:szCs w:val="28"/>
        </w:rPr>
        <w:t xml:space="preserve"> </w:t>
      </w:r>
      <w:proofErr w:type="spellStart"/>
      <w:r w:rsidR="008E1E3A" w:rsidRPr="00827CFE">
        <w:rPr>
          <w:rFonts w:eastAsia="Calibri"/>
          <w:sz w:val="28"/>
          <w:szCs w:val="28"/>
        </w:rPr>
        <w:t>аденозиндезаминазы</w:t>
      </w:r>
      <w:proofErr w:type="spellEnd"/>
      <w:r w:rsidR="008E1E3A" w:rsidRPr="00827CFE">
        <w:rPr>
          <w:rFonts w:eastAsia="Calibri"/>
          <w:sz w:val="28"/>
          <w:szCs w:val="28"/>
        </w:rPr>
        <w:t xml:space="preserve"> в сыворотке крови (</w:t>
      </w:r>
      <w:proofErr w:type="spellStart"/>
      <w:r w:rsidR="008E1E3A" w:rsidRPr="00827CFE">
        <w:rPr>
          <w:rFonts w:eastAsia="Calibri"/>
          <w:bCs/>
          <w:sz w:val="28"/>
          <w:szCs w:val="28"/>
          <w:lang w:val="en-US"/>
        </w:rPr>
        <w:t>eADA</w:t>
      </w:r>
      <w:proofErr w:type="spellEnd"/>
      <w:r w:rsidR="008E1E3A">
        <w:rPr>
          <w:rFonts w:eastAsia="Calibri"/>
          <w:bCs/>
          <w:sz w:val="28"/>
          <w:szCs w:val="28"/>
        </w:rPr>
        <w:t>-1, 2</w:t>
      </w:r>
      <w:r w:rsidR="008E1E3A" w:rsidRPr="00827CFE">
        <w:rPr>
          <w:rFonts w:eastAsia="Calibri"/>
          <w:sz w:val="28"/>
          <w:szCs w:val="28"/>
        </w:rPr>
        <w:t xml:space="preserve">), </w:t>
      </w:r>
      <w:proofErr w:type="spellStart"/>
      <w:r w:rsidR="008E1E3A" w:rsidRPr="00827CFE">
        <w:rPr>
          <w:rFonts w:eastAsia="Calibri"/>
          <w:sz w:val="28"/>
          <w:szCs w:val="28"/>
        </w:rPr>
        <w:t>мононуклеарах</w:t>
      </w:r>
      <w:proofErr w:type="spellEnd"/>
      <w:r w:rsidR="008E1E3A" w:rsidRPr="00827CFE">
        <w:rPr>
          <w:rFonts w:eastAsia="Calibri"/>
          <w:sz w:val="28"/>
          <w:szCs w:val="28"/>
        </w:rPr>
        <w:t xml:space="preserve"> и нейтрофилах, </w:t>
      </w:r>
      <w:r w:rsidR="008E1E3A">
        <w:rPr>
          <w:rFonts w:eastAsia="Calibri"/>
          <w:sz w:val="28"/>
          <w:szCs w:val="28"/>
        </w:rPr>
        <w:t>к</w:t>
      </w:r>
      <w:r w:rsidR="008E1E3A" w:rsidRPr="00827CFE">
        <w:rPr>
          <w:rFonts w:eastAsia="Calibri"/>
          <w:sz w:val="28"/>
          <w:szCs w:val="28"/>
        </w:rPr>
        <w:t xml:space="preserve">онцентрацию </w:t>
      </w:r>
      <w:r w:rsidR="008E1E3A" w:rsidRPr="00827CFE">
        <w:rPr>
          <w:rFonts w:eastAsia="Calibri"/>
          <w:spacing w:val="2"/>
          <w:sz w:val="28"/>
          <w:szCs w:val="28"/>
        </w:rPr>
        <w:t>экто-5'-нуклеотидазы (</w:t>
      </w:r>
      <w:r w:rsidR="008E1E3A" w:rsidRPr="00827CFE">
        <w:rPr>
          <w:rFonts w:eastAsia="Courier New"/>
          <w:sz w:val="28"/>
          <w:szCs w:val="28"/>
          <w:lang w:val="en-US"/>
        </w:rPr>
        <w:t>e</w:t>
      </w:r>
      <w:r w:rsidR="008E1E3A" w:rsidRPr="00827CFE">
        <w:rPr>
          <w:rFonts w:eastAsia="Courier New"/>
          <w:sz w:val="28"/>
          <w:szCs w:val="28"/>
        </w:rPr>
        <w:t>NT5E</w:t>
      </w:r>
      <w:r w:rsidR="008E1E3A" w:rsidRPr="00827CFE">
        <w:rPr>
          <w:rFonts w:eastAsia="Calibri"/>
          <w:sz w:val="28"/>
          <w:szCs w:val="28"/>
        </w:rPr>
        <w:t xml:space="preserve">) в сыворотке крови, </w:t>
      </w:r>
      <w:r w:rsidR="008E1E3A" w:rsidRPr="00827CFE">
        <w:rPr>
          <w:rFonts w:eastAsia="Calibri"/>
          <w:sz w:val="28"/>
          <w:szCs w:val="28"/>
          <w:lang w:val="en-US"/>
        </w:rPr>
        <w:t>CD</w:t>
      </w:r>
      <w:r w:rsidR="008E1E3A" w:rsidRPr="00827CFE">
        <w:rPr>
          <w:rFonts w:eastAsia="Calibri"/>
          <w:sz w:val="28"/>
          <w:szCs w:val="28"/>
        </w:rPr>
        <w:t>26</w:t>
      </w:r>
      <w:r w:rsidR="008E1E3A" w:rsidRPr="00827CFE">
        <w:rPr>
          <w:rFonts w:eastAsia="Calibri"/>
          <w:b/>
          <w:bCs/>
          <w:sz w:val="28"/>
          <w:szCs w:val="28"/>
        </w:rPr>
        <w:t xml:space="preserve"> </w:t>
      </w:r>
      <w:r w:rsidR="008E1E3A" w:rsidRPr="00827CFE">
        <w:rPr>
          <w:rFonts w:eastAsia="Courier New"/>
          <w:b/>
          <w:sz w:val="28"/>
          <w:szCs w:val="28"/>
        </w:rPr>
        <w:t>(</w:t>
      </w:r>
      <w:r w:rsidR="008E1E3A" w:rsidRPr="00827CFE">
        <w:rPr>
          <w:rFonts w:eastAsia="Courier New"/>
          <w:spacing w:val="2"/>
          <w:sz w:val="28"/>
          <w:szCs w:val="28"/>
          <w:lang w:val="en-US"/>
        </w:rPr>
        <w:t>DPP</w:t>
      </w:r>
      <w:r w:rsidR="008E1E3A" w:rsidRPr="00827CFE">
        <w:rPr>
          <w:rFonts w:eastAsia="Courier New"/>
          <w:spacing w:val="2"/>
          <w:sz w:val="28"/>
          <w:szCs w:val="28"/>
        </w:rPr>
        <w:t>IV</w:t>
      </w:r>
      <w:r w:rsidR="008E1E3A" w:rsidRPr="00827CFE">
        <w:rPr>
          <w:rFonts w:eastAsia="Courier New"/>
          <w:b/>
          <w:sz w:val="28"/>
          <w:szCs w:val="28"/>
        </w:rPr>
        <w:t>)</w:t>
      </w:r>
      <w:r w:rsidR="008E1E3A" w:rsidRPr="00827CFE">
        <w:rPr>
          <w:rFonts w:eastAsia="Courier New"/>
          <w:sz w:val="28"/>
          <w:szCs w:val="28"/>
        </w:rPr>
        <w:t xml:space="preserve"> </w:t>
      </w:r>
      <w:r w:rsidR="008E1E3A" w:rsidRPr="00827CFE">
        <w:rPr>
          <w:rFonts w:eastAsia="Calibri"/>
          <w:spacing w:val="2"/>
          <w:sz w:val="28"/>
          <w:szCs w:val="28"/>
        </w:rPr>
        <w:t>в сыворотке (</w:t>
      </w:r>
      <w:r w:rsidR="008E1E3A">
        <w:rPr>
          <w:rFonts w:eastAsia="Calibri"/>
          <w:spacing w:val="2"/>
          <w:sz w:val="28"/>
          <w:szCs w:val="28"/>
          <w:lang w:val="en-US"/>
        </w:rPr>
        <w:t>s</w:t>
      </w:r>
      <w:r w:rsidR="008E1E3A" w:rsidRPr="00CF1467">
        <w:rPr>
          <w:rFonts w:eastAsia="Calibri"/>
          <w:spacing w:val="2"/>
          <w:sz w:val="28"/>
          <w:szCs w:val="28"/>
        </w:rPr>
        <w:t xml:space="preserve">, </w:t>
      </w:r>
      <w:r w:rsidR="008E1E3A" w:rsidRPr="00827CFE">
        <w:rPr>
          <w:rFonts w:eastAsia="Calibri"/>
          <w:spacing w:val="2"/>
          <w:sz w:val="28"/>
          <w:szCs w:val="28"/>
        </w:rPr>
        <w:t>растворимая</w:t>
      </w:r>
      <w:r w:rsidR="008E1E3A">
        <w:rPr>
          <w:rFonts w:eastAsia="Calibri"/>
          <w:spacing w:val="2"/>
          <w:sz w:val="28"/>
          <w:szCs w:val="28"/>
        </w:rPr>
        <w:t xml:space="preserve"> форма) </w:t>
      </w:r>
      <w:r w:rsidR="008E1E3A" w:rsidRPr="00827CFE">
        <w:rPr>
          <w:rFonts w:eastAsia="Calibri"/>
          <w:spacing w:val="2"/>
          <w:sz w:val="28"/>
          <w:szCs w:val="28"/>
        </w:rPr>
        <w:t xml:space="preserve">и </w:t>
      </w:r>
      <w:proofErr w:type="spellStart"/>
      <w:r w:rsidR="008E1E3A">
        <w:rPr>
          <w:rFonts w:eastAsia="Calibri"/>
          <w:spacing w:val="2"/>
          <w:sz w:val="28"/>
          <w:szCs w:val="28"/>
        </w:rPr>
        <w:t>мононуклеарах</w:t>
      </w:r>
      <w:proofErr w:type="spellEnd"/>
      <w:r w:rsidR="008E1E3A">
        <w:rPr>
          <w:rFonts w:eastAsia="Calibri"/>
          <w:spacing w:val="2"/>
          <w:sz w:val="28"/>
          <w:szCs w:val="28"/>
        </w:rPr>
        <w:t xml:space="preserve"> (</w:t>
      </w:r>
      <w:r w:rsidR="008E1E3A">
        <w:rPr>
          <w:rFonts w:eastAsia="Calibri"/>
          <w:spacing w:val="2"/>
          <w:sz w:val="28"/>
          <w:szCs w:val="28"/>
          <w:lang w:val="en-US"/>
        </w:rPr>
        <w:t>m</w:t>
      </w:r>
      <w:r w:rsidR="008E1E3A" w:rsidRPr="00BC545C">
        <w:rPr>
          <w:rFonts w:eastAsia="Calibri"/>
          <w:spacing w:val="2"/>
          <w:sz w:val="28"/>
          <w:szCs w:val="28"/>
        </w:rPr>
        <w:t xml:space="preserve">, </w:t>
      </w:r>
      <w:proofErr w:type="spellStart"/>
      <w:r w:rsidR="008E1E3A" w:rsidRPr="00827CFE">
        <w:rPr>
          <w:rFonts w:eastAsia="Calibri"/>
          <w:spacing w:val="2"/>
          <w:sz w:val="28"/>
          <w:szCs w:val="28"/>
        </w:rPr>
        <w:t>мембран</w:t>
      </w:r>
      <w:r w:rsidR="00C431E4">
        <w:rPr>
          <w:rFonts w:eastAsia="Calibri"/>
          <w:spacing w:val="2"/>
          <w:sz w:val="28"/>
          <w:szCs w:val="28"/>
        </w:rPr>
        <w:t>освязанная</w:t>
      </w:r>
      <w:proofErr w:type="spellEnd"/>
      <w:r w:rsidR="008E1E3A" w:rsidRPr="00827CFE">
        <w:rPr>
          <w:rFonts w:eastAsia="Calibri"/>
          <w:spacing w:val="2"/>
          <w:sz w:val="28"/>
          <w:szCs w:val="28"/>
        </w:rPr>
        <w:t xml:space="preserve"> форм</w:t>
      </w:r>
      <w:r w:rsidR="008E1E3A">
        <w:rPr>
          <w:rFonts w:eastAsia="Calibri"/>
          <w:spacing w:val="2"/>
          <w:sz w:val="28"/>
          <w:szCs w:val="28"/>
        </w:rPr>
        <w:t xml:space="preserve">а), </w:t>
      </w:r>
      <w:proofErr w:type="spellStart"/>
      <w:r w:rsidR="008E1E3A" w:rsidRPr="002350EC">
        <w:rPr>
          <w:rFonts w:eastAsia="Calibri"/>
          <w:spacing w:val="2"/>
          <w:sz w:val="28"/>
          <w:szCs w:val="28"/>
        </w:rPr>
        <w:t>субпопуляционный</w:t>
      </w:r>
      <w:proofErr w:type="spellEnd"/>
      <w:r w:rsidR="008E1E3A" w:rsidRPr="00827CFE">
        <w:rPr>
          <w:kern w:val="36"/>
          <w:sz w:val="28"/>
          <w:szCs w:val="28"/>
        </w:rPr>
        <w:t xml:space="preserve"> состав</w:t>
      </w:r>
      <w:r w:rsidR="008E1E3A">
        <w:rPr>
          <w:kern w:val="36"/>
          <w:sz w:val="28"/>
          <w:szCs w:val="28"/>
        </w:rPr>
        <w:t xml:space="preserve"> </w:t>
      </w:r>
      <w:r w:rsidR="008E1E3A" w:rsidRPr="00A65BF7">
        <w:rPr>
          <w:kern w:val="36"/>
          <w:sz w:val="28"/>
          <w:szCs w:val="28"/>
        </w:rPr>
        <w:t>лимфоцитов</w:t>
      </w:r>
      <w:r w:rsidR="008E1E3A" w:rsidRPr="0087429C">
        <w:rPr>
          <w:kern w:val="36"/>
          <w:sz w:val="28"/>
          <w:szCs w:val="28"/>
        </w:rPr>
        <w:t>.</w:t>
      </w:r>
      <w:r w:rsidR="00C431E4">
        <w:rPr>
          <w:kern w:val="36"/>
          <w:sz w:val="28"/>
          <w:szCs w:val="28"/>
        </w:rPr>
        <w:t xml:space="preserve"> </w:t>
      </w:r>
      <w:r w:rsidR="00C431E4" w:rsidRPr="00C431E4">
        <w:rPr>
          <w:b/>
          <w:kern w:val="36"/>
          <w:sz w:val="28"/>
          <w:szCs w:val="28"/>
        </w:rPr>
        <w:t xml:space="preserve">Результаты. </w:t>
      </w:r>
      <w:r w:rsidR="00A06E37">
        <w:rPr>
          <w:sz w:val="28"/>
          <w:szCs w:val="28"/>
        </w:rPr>
        <w:t>У</w:t>
      </w:r>
      <w:r w:rsidR="00A06E37" w:rsidRPr="00112040">
        <w:rPr>
          <w:sz w:val="28"/>
          <w:szCs w:val="28"/>
        </w:rPr>
        <w:t xml:space="preserve"> больных ИТЛ выделяющих лекарственно-чувствительные штаммы </w:t>
      </w:r>
      <w:proofErr w:type="spellStart"/>
      <w:r w:rsidR="00A06E37" w:rsidRPr="00112040">
        <w:rPr>
          <w:i/>
          <w:sz w:val="28"/>
          <w:szCs w:val="28"/>
        </w:rPr>
        <w:t>Mtb</w:t>
      </w:r>
      <w:proofErr w:type="spellEnd"/>
      <w:r w:rsidR="00A06E37" w:rsidRPr="00112040">
        <w:rPr>
          <w:iCs/>
          <w:sz w:val="28"/>
          <w:szCs w:val="28"/>
        </w:rPr>
        <w:t>,</w:t>
      </w:r>
      <w:r w:rsidR="00A06E37" w:rsidRPr="00112040">
        <w:rPr>
          <w:i/>
          <w:sz w:val="28"/>
          <w:szCs w:val="28"/>
        </w:rPr>
        <w:t xml:space="preserve"> </w:t>
      </w:r>
      <w:r w:rsidR="00A06E37" w:rsidRPr="00112040">
        <w:rPr>
          <w:sz w:val="28"/>
          <w:szCs w:val="28"/>
        </w:rPr>
        <w:t>достигших «менее выраженного улучшения»</w:t>
      </w:r>
      <w:r w:rsidR="00A06E37" w:rsidRPr="00112040">
        <w:rPr>
          <w:i/>
          <w:sz w:val="28"/>
          <w:szCs w:val="28"/>
        </w:rPr>
        <w:t xml:space="preserve">, </w:t>
      </w:r>
      <w:r w:rsidR="00A06E37" w:rsidRPr="00112040">
        <w:rPr>
          <w:sz w:val="28"/>
          <w:szCs w:val="28"/>
        </w:rPr>
        <w:t>статистически значимыми были увеличение</w:t>
      </w:r>
      <w:r w:rsidR="00A06E37" w:rsidRPr="00112040">
        <w:rPr>
          <w:rFonts w:eastAsia="Courier New"/>
          <w:sz w:val="28"/>
          <w:szCs w:val="28"/>
        </w:rPr>
        <w:t xml:space="preserve"> концентрации и активности </w:t>
      </w:r>
      <w:proofErr w:type="spellStart"/>
      <w:r w:rsidR="00A06E37" w:rsidRPr="00112040">
        <w:rPr>
          <w:rFonts w:eastAsia="Courier New"/>
          <w:sz w:val="28"/>
          <w:szCs w:val="28"/>
        </w:rPr>
        <w:t>эктоферментов</w:t>
      </w:r>
      <w:proofErr w:type="spellEnd"/>
      <w:r w:rsidR="00A06E37" w:rsidRPr="00112040">
        <w:rPr>
          <w:rFonts w:eastAsia="Courier New"/>
          <w:sz w:val="28"/>
          <w:szCs w:val="28"/>
        </w:rPr>
        <w:t>, ответственных за образование внеклеточного аденозина (</w:t>
      </w:r>
      <w:r w:rsidR="00A06E37" w:rsidRPr="00112040">
        <w:rPr>
          <w:rFonts w:eastAsia="Courier New"/>
          <w:sz w:val="28"/>
          <w:szCs w:val="28"/>
          <w:lang w:val="en-US"/>
        </w:rPr>
        <w:t>e</w:t>
      </w:r>
      <w:r w:rsidR="00A06E37" w:rsidRPr="00112040">
        <w:rPr>
          <w:rFonts w:eastAsia="Courier New"/>
          <w:sz w:val="28"/>
          <w:szCs w:val="28"/>
        </w:rPr>
        <w:t>NT5E) и его трансформацию (</w:t>
      </w:r>
      <w:proofErr w:type="spellStart"/>
      <w:r w:rsidR="00A06E37" w:rsidRPr="00112040">
        <w:rPr>
          <w:bCs/>
          <w:sz w:val="28"/>
          <w:szCs w:val="28"/>
          <w:lang w:val="en-US"/>
        </w:rPr>
        <w:t>eADA</w:t>
      </w:r>
      <w:proofErr w:type="spellEnd"/>
      <w:r w:rsidR="00A06E37" w:rsidRPr="00112040">
        <w:rPr>
          <w:bCs/>
          <w:sz w:val="28"/>
          <w:szCs w:val="28"/>
        </w:rPr>
        <w:t xml:space="preserve">-1 и </w:t>
      </w:r>
      <w:proofErr w:type="spellStart"/>
      <w:r w:rsidR="00A06E37" w:rsidRPr="00112040">
        <w:rPr>
          <w:bCs/>
          <w:sz w:val="28"/>
          <w:szCs w:val="28"/>
          <w:lang w:val="en-US"/>
        </w:rPr>
        <w:t>eADA</w:t>
      </w:r>
      <w:proofErr w:type="spellEnd"/>
      <w:r w:rsidR="00A06E37" w:rsidRPr="00112040">
        <w:rPr>
          <w:bCs/>
          <w:sz w:val="28"/>
          <w:szCs w:val="28"/>
        </w:rPr>
        <w:t xml:space="preserve">-2), а также увеличением доли цитотоксических Т-клеток по сравнению с больными, достигшими </w:t>
      </w:r>
      <w:r w:rsidR="00A06E37">
        <w:rPr>
          <w:bCs/>
          <w:sz w:val="28"/>
          <w:szCs w:val="28"/>
        </w:rPr>
        <w:t>значительного улучшения</w:t>
      </w:r>
      <w:r w:rsidR="00A06E37" w:rsidRPr="00112040">
        <w:rPr>
          <w:bCs/>
          <w:sz w:val="28"/>
          <w:szCs w:val="28"/>
        </w:rPr>
        <w:t xml:space="preserve">. При этом у больных, </w:t>
      </w:r>
      <w:r w:rsidR="00A06E37" w:rsidRPr="00112040">
        <w:rPr>
          <w:sz w:val="28"/>
          <w:szCs w:val="28"/>
        </w:rPr>
        <w:t xml:space="preserve">выделяющих лекарственно-устойчивые штаммы </w:t>
      </w:r>
      <w:proofErr w:type="spellStart"/>
      <w:r w:rsidR="00A06E37" w:rsidRPr="00112040">
        <w:rPr>
          <w:i/>
          <w:sz w:val="28"/>
          <w:szCs w:val="28"/>
        </w:rPr>
        <w:t>Mtb</w:t>
      </w:r>
      <w:proofErr w:type="spellEnd"/>
      <w:r w:rsidR="00A06E37" w:rsidRPr="00112040">
        <w:rPr>
          <w:i/>
          <w:sz w:val="28"/>
          <w:szCs w:val="28"/>
        </w:rPr>
        <w:t xml:space="preserve">, </w:t>
      </w:r>
      <w:r w:rsidR="00A06E37" w:rsidRPr="00112040">
        <w:rPr>
          <w:iCs/>
          <w:sz w:val="28"/>
          <w:szCs w:val="28"/>
        </w:rPr>
        <w:t>достигших</w:t>
      </w:r>
      <w:r w:rsidR="00A06E37" w:rsidRPr="00112040">
        <w:rPr>
          <w:i/>
          <w:sz w:val="28"/>
          <w:szCs w:val="28"/>
        </w:rPr>
        <w:t xml:space="preserve"> </w:t>
      </w:r>
      <w:r w:rsidR="00A06E37" w:rsidRPr="00112040">
        <w:rPr>
          <w:sz w:val="28"/>
          <w:szCs w:val="28"/>
        </w:rPr>
        <w:t xml:space="preserve">«менее выраженного улучшения», отметили </w:t>
      </w:r>
      <w:r w:rsidR="00A06E37" w:rsidRPr="00112040">
        <w:rPr>
          <w:bCs/>
          <w:sz w:val="28"/>
          <w:szCs w:val="28"/>
        </w:rPr>
        <w:t xml:space="preserve">более низкие показатели абсолютного числа Т-лимфоцитов, Т-хелперов при увеличении доли цитотоксических Т-клеток, а также усилении активности </w:t>
      </w:r>
      <w:proofErr w:type="spellStart"/>
      <w:r w:rsidR="00A06E37" w:rsidRPr="00112040">
        <w:rPr>
          <w:bCs/>
          <w:sz w:val="28"/>
          <w:szCs w:val="28"/>
          <w:lang w:val="en-US"/>
        </w:rPr>
        <w:t>eADA</w:t>
      </w:r>
      <w:proofErr w:type="spellEnd"/>
      <w:r w:rsidR="00A06E37" w:rsidRPr="00112040">
        <w:rPr>
          <w:bCs/>
          <w:sz w:val="28"/>
          <w:szCs w:val="28"/>
        </w:rPr>
        <w:t xml:space="preserve">-2, по сравнению с лицами, достигшими значительного улучшения. </w:t>
      </w:r>
      <w:r w:rsidR="006D3B57" w:rsidRPr="00112040">
        <w:rPr>
          <w:b/>
          <w:bCs/>
          <w:sz w:val="28"/>
          <w:szCs w:val="28"/>
        </w:rPr>
        <w:t>Заключение</w:t>
      </w:r>
      <w:r w:rsidR="006D3B57">
        <w:rPr>
          <w:b/>
          <w:bCs/>
          <w:sz w:val="28"/>
          <w:szCs w:val="28"/>
        </w:rPr>
        <w:t xml:space="preserve">. </w:t>
      </w:r>
      <w:r w:rsidR="006D3B57" w:rsidRPr="00112040">
        <w:rPr>
          <w:sz w:val="28"/>
          <w:szCs w:val="28"/>
        </w:rPr>
        <w:t xml:space="preserve">До начала противотуберкулезной химиотерапии активность ферментов пуринового метаболизма и </w:t>
      </w:r>
      <w:proofErr w:type="spellStart"/>
      <w:r w:rsidR="006D3B57" w:rsidRPr="00112040">
        <w:rPr>
          <w:sz w:val="28"/>
          <w:szCs w:val="28"/>
        </w:rPr>
        <w:t>субпопуляционный</w:t>
      </w:r>
      <w:proofErr w:type="spellEnd"/>
      <w:r w:rsidR="006D3B57" w:rsidRPr="00112040">
        <w:rPr>
          <w:sz w:val="28"/>
          <w:szCs w:val="28"/>
        </w:rPr>
        <w:t xml:space="preserve"> состав лимфоцитов не были связаны с характеристиками </w:t>
      </w:r>
      <w:r w:rsidR="006D3B57" w:rsidRPr="00112040">
        <w:rPr>
          <w:rFonts w:eastAsia="Calibri"/>
          <w:sz w:val="28"/>
          <w:szCs w:val="28"/>
          <w:lang w:eastAsia="en-US"/>
        </w:rPr>
        <w:t xml:space="preserve">лекарственной устойчивости </w:t>
      </w:r>
      <w:proofErr w:type="spellStart"/>
      <w:r w:rsidR="009B14F6" w:rsidRPr="009B14F6">
        <w:rPr>
          <w:i/>
          <w:sz w:val="28"/>
          <w:szCs w:val="28"/>
          <w:lang w:val="en-US"/>
        </w:rPr>
        <w:t>Mtb</w:t>
      </w:r>
      <w:proofErr w:type="spellEnd"/>
      <w:r w:rsidR="006D3B57" w:rsidRPr="00112040">
        <w:rPr>
          <w:sz w:val="28"/>
          <w:szCs w:val="28"/>
        </w:rPr>
        <w:t xml:space="preserve">. </w:t>
      </w:r>
      <w:r w:rsidR="006D3B57" w:rsidRPr="00112040">
        <w:rPr>
          <w:rFonts w:eastAsia="Calibri"/>
          <w:sz w:val="28"/>
          <w:szCs w:val="28"/>
          <w:lang w:eastAsia="en-US"/>
        </w:rPr>
        <w:t xml:space="preserve">Хотя существенное число взаимосвязей между показателями ферментов </w:t>
      </w:r>
      <w:proofErr w:type="spellStart"/>
      <w:r w:rsidR="006D3B57" w:rsidRPr="00112040">
        <w:rPr>
          <w:rFonts w:eastAsia="Calibri"/>
          <w:sz w:val="28"/>
          <w:szCs w:val="28"/>
          <w:lang w:eastAsia="en-US"/>
        </w:rPr>
        <w:t>пуринергической</w:t>
      </w:r>
      <w:proofErr w:type="spellEnd"/>
      <w:r w:rsidR="006D3B57" w:rsidRPr="00112040">
        <w:rPr>
          <w:rFonts w:eastAsia="Calibri"/>
          <w:sz w:val="28"/>
          <w:szCs w:val="28"/>
          <w:lang w:eastAsia="en-US"/>
        </w:rPr>
        <w:t xml:space="preserve"> регуляции и количеством/долей лимфоцитов определено у больных, достигших значительного улучшения, при менее выраженном улучшении, независимо от лекарственной устойчивости </w:t>
      </w:r>
      <w:proofErr w:type="spellStart"/>
      <w:r w:rsidR="009B14F6" w:rsidRPr="009B14F6">
        <w:rPr>
          <w:i/>
          <w:sz w:val="28"/>
          <w:szCs w:val="28"/>
          <w:lang w:val="en-US"/>
        </w:rPr>
        <w:t>Mtb</w:t>
      </w:r>
      <w:proofErr w:type="spellEnd"/>
      <w:r w:rsidR="006D3B57" w:rsidRPr="00112040">
        <w:rPr>
          <w:rFonts w:eastAsia="Calibri"/>
          <w:sz w:val="28"/>
          <w:szCs w:val="28"/>
          <w:lang w:eastAsia="en-US"/>
        </w:rPr>
        <w:t xml:space="preserve">, таких взаимосвязей не выявлено. Это свидетельствует о несбалансированности факторов воспаления (представленного ферментами пуринового метаболизма) и иммунного ответа на </w:t>
      </w:r>
      <w:proofErr w:type="spellStart"/>
      <w:r w:rsidR="009B14F6" w:rsidRPr="009B14F6">
        <w:rPr>
          <w:i/>
          <w:sz w:val="28"/>
          <w:szCs w:val="28"/>
          <w:lang w:val="en-US"/>
        </w:rPr>
        <w:t>Mtb</w:t>
      </w:r>
      <w:proofErr w:type="spellEnd"/>
      <w:r w:rsidR="009B14F6" w:rsidRPr="00112040">
        <w:rPr>
          <w:rFonts w:eastAsia="Calibri"/>
          <w:sz w:val="28"/>
          <w:szCs w:val="28"/>
          <w:lang w:eastAsia="en-US"/>
        </w:rPr>
        <w:t xml:space="preserve"> </w:t>
      </w:r>
      <w:r w:rsidR="006D3B57" w:rsidRPr="00112040">
        <w:rPr>
          <w:rFonts w:eastAsia="Calibri"/>
          <w:sz w:val="28"/>
          <w:szCs w:val="28"/>
          <w:lang w:eastAsia="en-US"/>
        </w:rPr>
        <w:t xml:space="preserve">у лиц, показавших худшие результаты </w:t>
      </w:r>
      <w:r w:rsidR="00604843">
        <w:rPr>
          <w:rFonts w:eastAsia="Calibri"/>
          <w:sz w:val="28"/>
          <w:szCs w:val="28"/>
          <w:lang w:eastAsia="en-US"/>
        </w:rPr>
        <w:t>исходов интенсивной фазы химиотерапии</w:t>
      </w:r>
      <w:r w:rsidR="006D3B57" w:rsidRPr="00112040">
        <w:rPr>
          <w:rFonts w:eastAsia="Calibri"/>
          <w:sz w:val="28"/>
          <w:szCs w:val="28"/>
          <w:lang w:eastAsia="en-US"/>
        </w:rPr>
        <w:t xml:space="preserve">. </w:t>
      </w:r>
      <w:proofErr w:type="spellStart"/>
      <w:r w:rsidR="006D3B57" w:rsidRPr="00112040">
        <w:rPr>
          <w:rFonts w:eastAsia="Calibri"/>
          <w:sz w:val="28"/>
          <w:szCs w:val="28"/>
          <w:lang w:eastAsia="en-US"/>
        </w:rPr>
        <w:t>Учитывание</w:t>
      </w:r>
      <w:proofErr w:type="spellEnd"/>
      <w:r w:rsidR="006D3B57" w:rsidRPr="00112040">
        <w:rPr>
          <w:rFonts w:eastAsia="Calibri"/>
          <w:sz w:val="28"/>
          <w:szCs w:val="28"/>
          <w:lang w:eastAsia="en-US"/>
        </w:rPr>
        <w:t xml:space="preserve"> вклада каждого компонента защитных реакций необходимо как для оценки их значимости при различных исходах лечения, так и для наз</w:t>
      </w:r>
      <w:r w:rsidR="006D3B57" w:rsidRPr="00112040">
        <w:rPr>
          <w:sz w:val="28"/>
          <w:szCs w:val="28"/>
        </w:rPr>
        <w:t xml:space="preserve">начения адекватной химиотерапии, патогенетической терапии и </w:t>
      </w:r>
      <w:proofErr w:type="spellStart"/>
      <w:r w:rsidR="006D3B57" w:rsidRPr="00112040">
        <w:rPr>
          <w:sz w:val="28"/>
          <w:szCs w:val="28"/>
        </w:rPr>
        <w:t>иммунокоррекции</w:t>
      </w:r>
      <w:proofErr w:type="spellEnd"/>
      <w:r w:rsidR="006D3B57" w:rsidRPr="00112040">
        <w:rPr>
          <w:sz w:val="28"/>
          <w:szCs w:val="28"/>
        </w:rPr>
        <w:t>, направленной на прекращение прогрессирования заболевания.</w:t>
      </w:r>
    </w:p>
    <w:p w:rsidR="00A06E37" w:rsidRPr="00112040" w:rsidRDefault="00A06E37" w:rsidP="00A06E37">
      <w:pPr>
        <w:ind w:firstLine="709"/>
        <w:jc w:val="both"/>
        <w:rPr>
          <w:rFonts w:eastAsia="Calibri"/>
          <w:sz w:val="28"/>
          <w:szCs w:val="28"/>
          <w:lang w:eastAsia="en-US"/>
        </w:rPr>
      </w:pPr>
    </w:p>
    <w:p w:rsidR="005372AC" w:rsidRDefault="005372AC"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9F5414" w:rsidRDefault="009F5414" w:rsidP="00C35104">
      <w:pPr>
        <w:autoSpaceDE w:val="0"/>
        <w:autoSpaceDN w:val="0"/>
        <w:adjustRightInd w:val="0"/>
        <w:jc w:val="both"/>
        <w:rPr>
          <w:rFonts w:eastAsia="Calibri"/>
          <w:sz w:val="28"/>
          <w:szCs w:val="28"/>
          <w:lang w:eastAsia="en-US"/>
        </w:rPr>
      </w:pPr>
    </w:p>
    <w:p w:rsidR="002A3EFD" w:rsidRDefault="002A3EFD" w:rsidP="009F5414">
      <w:pPr>
        <w:spacing w:after="160"/>
        <w:rPr>
          <w:rFonts w:eastAsiaTheme="minorHAnsi"/>
          <w:b/>
          <w:color w:val="000000"/>
          <w:sz w:val="28"/>
          <w:szCs w:val="28"/>
          <w:lang w:val="en-US" w:eastAsia="en-US"/>
        </w:rPr>
      </w:pPr>
    </w:p>
    <w:p w:rsidR="002A3EFD" w:rsidRDefault="002A3EFD" w:rsidP="009F5414">
      <w:pPr>
        <w:spacing w:after="160"/>
        <w:rPr>
          <w:rFonts w:eastAsiaTheme="minorHAnsi"/>
          <w:b/>
          <w:color w:val="000000"/>
          <w:sz w:val="28"/>
          <w:szCs w:val="28"/>
          <w:lang w:val="en-US" w:eastAsia="en-US"/>
        </w:rPr>
      </w:pPr>
    </w:p>
    <w:p w:rsidR="002A3EFD" w:rsidRDefault="002A3EFD" w:rsidP="009F5414">
      <w:pPr>
        <w:spacing w:after="160"/>
        <w:rPr>
          <w:rFonts w:eastAsiaTheme="minorHAnsi"/>
          <w:b/>
          <w:color w:val="000000"/>
          <w:sz w:val="28"/>
          <w:szCs w:val="28"/>
          <w:lang w:val="en-US" w:eastAsia="en-US"/>
        </w:rPr>
      </w:pPr>
    </w:p>
    <w:p w:rsidR="009F5414" w:rsidRDefault="009F5414" w:rsidP="009F5414">
      <w:pPr>
        <w:spacing w:after="160"/>
        <w:rPr>
          <w:rFonts w:eastAsiaTheme="minorHAnsi"/>
          <w:b/>
          <w:color w:val="000000"/>
          <w:sz w:val="28"/>
          <w:szCs w:val="28"/>
          <w:lang w:val="en-US" w:eastAsia="en-US"/>
        </w:rPr>
      </w:pPr>
      <w:bookmarkStart w:id="0" w:name="_GoBack"/>
      <w:bookmarkEnd w:id="0"/>
      <w:r w:rsidRPr="009F5414">
        <w:rPr>
          <w:rFonts w:eastAsiaTheme="minorHAnsi"/>
          <w:b/>
          <w:color w:val="000000"/>
          <w:sz w:val="28"/>
          <w:szCs w:val="28"/>
          <w:lang w:val="en-US" w:eastAsia="en-US"/>
        </w:rPr>
        <w:t>Enzymes of purine metabolism and lymphocyte subpopulations in patients with drug-sensitive and drug-resistant infiltrative pulmonary tuberculosis</w:t>
      </w:r>
    </w:p>
    <w:p w:rsidR="009F5414" w:rsidRPr="009F5414" w:rsidRDefault="009F5414" w:rsidP="009F5414">
      <w:pPr>
        <w:spacing w:after="160"/>
        <w:rPr>
          <w:rFonts w:eastAsiaTheme="minorHAnsi"/>
          <w:b/>
          <w:color w:val="000000"/>
          <w:sz w:val="28"/>
          <w:szCs w:val="28"/>
          <w:lang w:val="en-US" w:eastAsia="en-US"/>
        </w:rPr>
      </w:pPr>
    </w:p>
    <w:p w:rsidR="001D5937" w:rsidRDefault="009F5414" w:rsidP="009F5414">
      <w:pPr>
        <w:autoSpaceDE w:val="0"/>
        <w:autoSpaceDN w:val="0"/>
        <w:adjustRightInd w:val="0"/>
        <w:jc w:val="both"/>
        <w:rPr>
          <w:color w:val="000000"/>
          <w:sz w:val="28"/>
          <w:szCs w:val="28"/>
          <w:lang w:val="en-US"/>
        </w:rPr>
      </w:pPr>
      <w:r w:rsidRPr="00B42258">
        <w:rPr>
          <w:color w:val="000000"/>
          <w:sz w:val="28"/>
          <w:szCs w:val="28"/>
          <w:lang w:val="en-US"/>
        </w:rPr>
        <w:t>The purpose</w:t>
      </w:r>
      <w:r w:rsidRPr="009F5414">
        <w:rPr>
          <w:color w:val="000000"/>
          <w:sz w:val="28"/>
          <w:szCs w:val="28"/>
          <w:lang w:val="en-US"/>
        </w:rPr>
        <w:t xml:space="preserve"> of study was to evaluate the state of the enzymes of the purinergic system and the subpopulation composition of lymphocytes in patients with newly diagnosed infiltrative pulmonary tuberculosis, depending on the drug resistance of </w:t>
      </w:r>
      <w:proofErr w:type="spellStart"/>
      <w:r w:rsidRPr="006B519A">
        <w:rPr>
          <w:i/>
          <w:color w:val="000000"/>
          <w:sz w:val="28"/>
          <w:szCs w:val="28"/>
          <w:lang w:val="en-US"/>
        </w:rPr>
        <w:t>Mtb</w:t>
      </w:r>
      <w:proofErr w:type="spellEnd"/>
      <w:r w:rsidRPr="009F5414">
        <w:rPr>
          <w:color w:val="000000"/>
          <w:sz w:val="28"/>
          <w:szCs w:val="28"/>
          <w:lang w:val="en-US"/>
        </w:rPr>
        <w:t xml:space="preserve"> to anti-tuberculosis drugs. </w:t>
      </w:r>
      <w:r w:rsidR="001A4039" w:rsidRPr="001A4039">
        <w:rPr>
          <w:color w:val="000000"/>
          <w:sz w:val="28"/>
          <w:szCs w:val="28"/>
          <w:lang w:val="en-US"/>
        </w:rPr>
        <w:t xml:space="preserve">In 109 patients with drug-resistant and drug-sensitive </w:t>
      </w:r>
      <w:proofErr w:type="spellStart"/>
      <w:r w:rsidR="001A4039" w:rsidRPr="001A4039">
        <w:rPr>
          <w:color w:val="000000"/>
          <w:sz w:val="28"/>
          <w:szCs w:val="28"/>
          <w:lang w:val="en-US"/>
        </w:rPr>
        <w:t>Mtb</w:t>
      </w:r>
      <w:proofErr w:type="spellEnd"/>
      <w:r w:rsidR="001A4039" w:rsidRPr="001A4039">
        <w:rPr>
          <w:color w:val="000000"/>
          <w:sz w:val="28"/>
          <w:szCs w:val="28"/>
          <w:lang w:val="en-US"/>
        </w:rPr>
        <w:t xml:space="preserve"> who achieved significant or less pronounced improvement after the intensive phase of chemotherapy, the activity of adenosine deaminase (eADA-1, 2), the concentration of ecto-5'-nucleotidase (eNT5E), CD26 (DPPIV), and the subpopulation composition of lymphocytes were evaluated before treatment.</w:t>
      </w:r>
      <w:r w:rsidR="001A4039" w:rsidRPr="001A4039">
        <w:rPr>
          <w:color w:val="000000"/>
          <w:sz w:val="28"/>
          <w:szCs w:val="28"/>
          <w:lang w:val="en-US"/>
        </w:rPr>
        <w:t xml:space="preserve"> </w:t>
      </w:r>
      <w:r w:rsidR="0048644B" w:rsidRPr="0048644B">
        <w:rPr>
          <w:color w:val="000000"/>
          <w:sz w:val="28"/>
          <w:szCs w:val="28"/>
          <w:lang w:val="en-US"/>
        </w:rPr>
        <w:t xml:space="preserve">In patients isolating drug-sensitive </w:t>
      </w:r>
      <w:proofErr w:type="spellStart"/>
      <w:r w:rsidR="0048644B" w:rsidRPr="00C22D33">
        <w:rPr>
          <w:i/>
          <w:color w:val="000000"/>
          <w:sz w:val="28"/>
          <w:szCs w:val="28"/>
          <w:lang w:val="en-US"/>
        </w:rPr>
        <w:t>Mtb</w:t>
      </w:r>
      <w:proofErr w:type="spellEnd"/>
      <w:r w:rsidR="0048644B" w:rsidRPr="0048644B">
        <w:rPr>
          <w:color w:val="000000"/>
          <w:sz w:val="28"/>
          <w:szCs w:val="28"/>
          <w:lang w:val="en-US"/>
        </w:rPr>
        <w:t xml:space="preserve"> strains who achieved a "less pronounced improvement", the concentration and activity of </w:t>
      </w:r>
      <w:proofErr w:type="spellStart"/>
      <w:r w:rsidR="0048644B" w:rsidRPr="0048644B">
        <w:rPr>
          <w:color w:val="000000"/>
          <w:sz w:val="28"/>
          <w:szCs w:val="28"/>
          <w:lang w:val="en-US"/>
        </w:rPr>
        <w:t>ectoenzymes</w:t>
      </w:r>
      <w:proofErr w:type="spellEnd"/>
      <w:r w:rsidR="0048644B" w:rsidRPr="0048644B">
        <w:rPr>
          <w:color w:val="000000"/>
          <w:sz w:val="28"/>
          <w:szCs w:val="28"/>
          <w:lang w:val="en-US"/>
        </w:rPr>
        <w:t xml:space="preserve"> responsible for the formation of extracellular adenosine (eNT5E) and its transformation (eADA-1 and eADA-2), the proportion of cytotoxic T cells was higher compared with patients who achieved significant improvement. Patients isolating drug-resistant </w:t>
      </w:r>
      <w:proofErr w:type="spellStart"/>
      <w:r w:rsidR="0048644B" w:rsidRPr="00C22D33">
        <w:rPr>
          <w:i/>
          <w:color w:val="000000"/>
          <w:sz w:val="28"/>
          <w:szCs w:val="28"/>
          <w:lang w:val="en-US"/>
        </w:rPr>
        <w:t>Mtb</w:t>
      </w:r>
      <w:proofErr w:type="spellEnd"/>
      <w:r w:rsidR="0048644B" w:rsidRPr="0048644B">
        <w:rPr>
          <w:color w:val="000000"/>
          <w:sz w:val="28"/>
          <w:szCs w:val="28"/>
          <w:lang w:val="en-US"/>
        </w:rPr>
        <w:t xml:space="preserve"> strains who achieved a "less pronounced improvement" had lower absolute counts of T-lymphocytes and helper T cells with an increase in the proportion of cytotoxic T cells and increased eADA-2 activity, compared with individuals who achieved significant improvement.</w:t>
      </w:r>
      <w:r w:rsidR="0048644B" w:rsidRPr="0048644B">
        <w:rPr>
          <w:b/>
          <w:color w:val="000000"/>
          <w:sz w:val="28"/>
          <w:szCs w:val="28"/>
          <w:lang w:val="en-US"/>
        </w:rPr>
        <w:t xml:space="preserve"> </w:t>
      </w:r>
      <w:r w:rsidR="002A3EFD" w:rsidRPr="00B42258">
        <w:rPr>
          <w:color w:val="000000"/>
          <w:sz w:val="28"/>
          <w:szCs w:val="28"/>
          <w:lang w:val="en-US"/>
        </w:rPr>
        <w:t>Thus,</w:t>
      </w:r>
      <w:r w:rsidR="00AD67F0" w:rsidRPr="00AD67F0">
        <w:rPr>
          <w:color w:val="000000"/>
          <w:sz w:val="28"/>
          <w:szCs w:val="28"/>
          <w:lang w:val="en-US"/>
        </w:rPr>
        <w:t xml:space="preserve"> </w:t>
      </w:r>
      <w:r w:rsidR="00B42258">
        <w:rPr>
          <w:color w:val="000000"/>
          <w:sz w:val="28"/>
          <w:szCs w:val="28"/>
          <w:lang w:val="en-US"/>
        </w:rPr>
        <w:t>p</w:t>
      </w:r>
      <w:r w:rsidR="00A31A86" w:rsidRPr="00A31A86">
        <w:rPr>
          <w:color w:val="000000"/>
          <w:sz w:val="28"/>
          <w:szCs w:val="28"/>
          <w:lang w:val="en-US"/>
        </w:rPr>
        <w:t xml:space="preserve">rior to the initiation of tuberculosis chemotherapy, the activity of purine metabolism enzymes and the subpopulation composition of lymphocytes were not associated with the characteristics of </w:t>
      </w:r>
      <w:proofErr w:type="spellStart"/>
      <w:r w:rsidR="00A31A86" w:rsidRPr="00C22D33">
        <w:rPr>
          <w:i/>
          <w:color w:val="000000"/>
          <w:sz w:val="28"/>
          <w:szCs w:val="28"/>
          <w:lang w:val="en-US"/>
        </w:rPr>
        <w:t>Mtb</w:t>
      </w:r>
      <w:proofErr w:type="spellEnd"/>
      <w:r w:rsidR="00A31A86" w:rsidRPr="00A31A86">
        <w:rPr>
          <w:color w:val="000000"/>
          <w:sz w:val="28"/>
          <w:szCs w:val="28"/>
          <w:lang w:val="en-US"/>
        </w:rPr>
        <w:t xml:space="preserve"> drug resistance. The relationship between the parameters of purinergic regulation enzymes and the number/ proportion of lymphocytes was revealed in patients who achieved significant improvement, with less pronounced improvement, regardless of the drug resistance of </w:t>
      </w:r>
      <w:proofErr w:type="spellStart"/>
      <w:r w:rsidR="00A31A86" w:rsidRPr="00C22D33">
        <w:rPr>
          <w:i/>
          <w:color w:val="000000"/>
          <w:sz w:val="28"/>
          <w:szCs w:val="28"/>
          <w:lang w:val="en-US"/>
        </w:rPr>
        <w:t>Mtb</w:t>
      </w:r>
      <w:proofErr w:type="spellEnd"/>
      <w:r w:rsidR="00A31A86" w:rsidRPr="00A31A86">
        <w:rPr>
          <w:color w:val="000000"/>
          <w:sz w:val="28"/>
          <w:szCs w:val="28"/>
          <w:lang w:val="en-US"/>
        </w:rPr>
        <w:t xml:space="preserve">, no such relationships were found. This indicates an imbalance of inflammatory factors and the immune response to </w:t>
      </w:r>
      <w:proofErr w:type="spellStart"/>
      <w:r w:rsidR="00A31A86" w:rsidRPr="00C22D33">
        <w:rPr>
          <w:i/>
          <w:color w:val="000000"/>
          <w:sz w:val="28"/>
          <w:szCs w:val="28"/>
          <w:lang w:val="en-US"/>
        </w:rPr>
        <w:t>Mtb</w:t>
      </w:r>
      <w:proofErr w:type="spellEnd"/>
      <w:r w:rsidR="00A31A86" w:rsidRPr="00A31A86">
        <w:rPr>
          <w:color w:val="000000"/>
          <w:sz w:val="28"/>
          <w:szCs w:val="28"/>
          <w:lang w:val="en-US"/>
        </w:rPr>
        <w:t xml:space="preserve"> in individuals who showed the worst results from the intensive phase of chemotherapy. </w:t>
      </w:r>
      <w:r w:rsidR="00144D76" w:rsidRPr="00144D76">
        <w:rPr>
          <w:color w:val="000000"/>
          <w:sz w:val="28"/>
          <w:szCs w:val="28"/>
          <w:lang w:val="en-US"/>
        </w:rPr>
        <w:t xml:space="preserve">Taking into account the contribution of each component of protective reactions is necessary for the appointment of adequate chemotherapy, </w:t>
      </w:r>
      <w:proofErr w:type="spellStart"/>
      <w:r w:rsidR="00144D76" w:rsidRPr="00144D76">
        <w:rPr>
          <w:color w:val="000000"/>
          <w:sz w:val="28"/>
          <w:szCs w:val="28"/>
          <w:lang w:val="en-US"/>
        </w:rPr>
        <w:t>pathogenetic</w:t>
      </w:r>
      <w:proofErr w:type="spellEnd"/>
      <w:r w:rsidR="00144D76" w:rsidRPr="00144D76">
        <w:rPr>
          <w:color w:val="000000"/>
          <w:sz w:val="28"/>
          <w:szCs w:val="28"/>
          <w:lang w:val="en-US"/>
        </w:rPr>
        <w:t xml:space="preserve"> therapy and </w:t>
      </w:r>
      <w:proofErr w:type="spellStart"/>
      <w:r w:rsidR="00144D76" w:rsidRPr="00144D76">
        <w:rPr>
          <w:color w:val="000000"/>
          <w:sz w:val="28"/>
          <w:szCs w:val="28"/>
          <w:lang w:val="en-US"/>
        </w:rPr>
        <w:t>immunocorrection</w:t>
      </w:r>
      <w:proofErr w:type="spellEnd"/>
      <w:r w:rsidR="00144D76" w:rsidRPr="00144D76">
        <w:rPr>
          <w:color w:val="000000"/>
          <w:sz w:val="28"/>
          <w:szCs w:val="28"/>
          <w:lang w:val="en-US"/>
        </w:rPr>
        <w:t xml:space="preserve"> aimed at stopping the progression of the disease.</w:t>
      </w:r>
    </w:p>
    <w:p w:rsidR="00A31A86" w:rsidRDefault="00A31A86" w:rsidP="009F5414">
      <w:pPr>
        <w:autoSpaceDE w:val="0"/>
        <w:autoSpaceDN w:val="0"/>
        <w:adjustRightInd w:val="0"/>
        <w:jc w:val="both"/>
        <w:rPr>
          <w:color w:val="000000"/>
          <w:sz w:val="28"/>
          <w:szCs w:val="28"/>
          <w:lang w:val="en-US"/>
        </w:rPr>
      </w:pPr>
    </w:p>
    <w:p w:rsidR="00A31A86" w:rsidRPr="00A31A86" w:rsidRDefault="00A31A86" w:rsidP="009F5414">
      <w:pPr>
        <w:autoSpaceDE w:val="0"/>
        <w:autoSpaceDN w:val="0"/>
        <w:adjustRightInd w:val="0"/>
        <w:jc w:val="both"/>
        <w:rPr>
          <w:color w:val="000000"/>
          <w:sz w:val="28"/>
          <w:szCs w:val="28"/>
          <w:lang w:val="en-US"/>
        </w:rPr>
      </w:pPr>
    </w:p>
    <w:p w:rsidR="001D5937" w:rsidRPr="001D5937" w:rsidRDefault="001D5937" w:rsidP="009F5414">
      <w:pPr>
        <w:autoSpaceDE w:val="0"/>
        <w:autoSpaceDN w:val="0"/>
        <w:adjustRightInd w:val="0"/>
        <w:jc w:val="both"/>
        <w:rPr>
          <w:rFonts w:eastAsia="Calibri"/>
          <w:sz w:val="28"/>
          <w:szCs w:val="28"/>
          <w:lang w:eastAsia="en-US"/>
        </w:rPr>
      </w:pPr>
    </w:p>
    <w:sectPr w:rsidR="001D5937" w:rsidRPr="001D59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C7"/>
    <w:rsid w:val="00082C05"/>
    <w:rsid w:val="00144D76"/>
    <w:rsid w:val="001A4039"/>
    <w:rsid w:val="001D5937"/>
    <w:rsid w:val="0028196D"/>
    <w:rsid w:val="002A3EFD"/>
    <w:rsid w:val="003C5206"/>
    <w:rsid w:val="003D52BE"/>
    <w:rsid w:val="0048644B"/>
    <w:rsid w:val="00520898"/>
    <w:rsid w:val="00526FE2"/>
    <w:rsid w:val="005372AC"/>
    <w:rsid w:val="00604843"/>
    <w:rsid w:val="006B45C7"/>
    <w:rsid w:val="006B519A"/>
    <w:rsid w:val="006D3B57"/>
    <w:rsid w:val="008E1E3A"/>
    <w:rsid w:val="009B14F6"/>
    <w:rsid w:val="009C5D95"/>
    <w:rsid w:val="009F5414"/>
    <w:rsid w:val="00A02F28"/>
    <w:rsid w:val="00A06E37"/>
    <w:rsid w:val="00A15417"/>
    <w:rsid w:val="00A31A86"/>
    <w:rsid w:val="00AD67F0"/>
    <w:rsid w:val="00B42258"/>
    <w:rsid w:val="00C22D33"/>
    <w:rsid w:val="00C35104"/>
    <w:rsid w:val="00C431E4"/>
    <w:rsid w:val="00DA275F"/>
    <w:rsid w:val="00E83541"/>
    <w:rsid w:val="00EA46BC"/>
    <w:rsid w:val="00F10AE4"/>
    <w:rsid w:val="00F92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AD57"/>
  <w15:chartTrackingRefBased/>
  <w15:docId w15:val="{BB784AE5-9506-445D-8E82-7B62E43A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2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0898"/>
    <w:rPr>
      <w:rFonts w:ascii="Segoe UI" w:hAnsi="Segoe UI" w:cs="Segoe UI"/>
      <w:sz w:val="18"/>
      <w:szCs w:val="18"/>
    </w:rPr>
  </w:style>
  <w:style w:type="character" w:customStyle="1" w:styleId="a4">
    <w:name w:val="Текст выноски Знак"/>
    <w:basedOn w:val="a0"/>
    <w:link w:val="a3"/>
    <w:uiPriority w:val="99"/>
    <w:semiHidden/>
    <w:rsid w:val="0052089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58128">
      <w:bodyDiv w:val="1"/>
      <w:marLeft w:val="0"/>
      <w:marRight w:val="0"/>
      <w:marTop w:val="0"/>
      <w:marBottom w:val="0"/>
      <w:divBdr>
        <w:top w:val="none" w:sz="0" w:space="0" w:color="auto"/>
        <w:left w:val="none" w:sz="0" w:space="0" w:color="auto"/>
        <w:bottom w:val="none" w:sz="0" w:space="0" w:color="auto"/>
        <w:right w:val="none" w:sz="0" w:space="0" w:color="auto"/>
      </w:divBdr>
      <w:divsChild>
        <w:div w:id="784732735">
          <w:marLeft w:val="0"/>
          <w:marRight w:val="0"/>
          <w:marTop w:val="0"/>
          <w:marBottom w:val="0"/>
          <w:divBdr>
            <w:top w:val="none" w:sz="0" w:space="0" w:color="auto"/>
            <w:left w:val="none" w:sz="0" w:space="0" w:color="auto"/>
            <w:bottom w:val="none" w:sz="0" w:space="0" w:color="auto"/>
            <w:right w:val="none" w:sz="0" w:space="0" w:color="auto"/>
          </w:divBdr>
          <w:divsChild>
            <w:div w:id="2130196205">
              <w:marLeft w:val="0"/>
              <w:marRight w:val="0"/>
              <w:marTop w:val="0"/>
              <w:marBottom w:val="0"/>
              <w:divBdr>
                <w:top w:val="none" w:sz="0" w:space="0" w:color="auto"/>
                <w:left w:val="none" w:sz="0" w:space="0" w:color="auto"/>
                <w:bottom w:val="none" w:sz="0" w:space="0" w:color="auto"/>
                <w:right w:val="none" w:sz="0" w:space="0" w:color="auto"/>
              </w:divBdr>
              <w:divsChild>
                <w:div w:id="1549417097">
                  <w:marLeft w:val="0"/>
                  <w:marRight w:val="0"/>
                  <w:marTop w:val="0"/>
                  <w:marBottom w:val="0"/>
                  <w:divBdr>
                    <w:top w:val="none" w:sz="0" w:space="0" w:color="auto"/>
                    <w:left w:val="none" w:sz="0" w:space="0" w:color="auto"/>
                    <w:bottom w:val="none" w:sz="0" w:space="0" w:color="auto"/>
                    <w:right w:val="none" w:sz="0" w:space="0" w:color="auto"/>
                  </w:divBdr>
                  <w:divsChild>
                    <w:div w:id="1170027129">
                      <w:marLeft w:val="0"/>
                      <w:marRight w:val="0"/>
                      <w:marTop w:val="0"/>
                      <w:marBottom w:val="0"/>
                      <w:divBdr>
                        <w:top w:val="none" w:sz="0" w:space="0" w:color="auto"/>
                        <w:left w:val="none" w:sz="0" w:space="0" w:color="auto"/>
                        <w:bottom w:val="none" w:sz="0" w:space="0" w:color="auto"/>
                        <w:right w:val="none" w:sz="0" w:space="0" w:color="auto"/>
                      </w:divBdr>
                      <w:divsChild>
                        <w:div w:id="1400521661">
                          <w:marLeft w:val="0"/>
                          <w:marRight w:val="0"/>
                          <w:marTop w:val="0"/>
                          <w:marBottom w:val="0"/>
                          <w:divBdr>
                            <w:top w:val="none" w:sz="0" w:space="0" w:color="auto"/>
                            <w:left w:val="none" w:sz="0" w:space="0" w:color="auto"/>
                            <w:bottom w:val="none" w:sz="0" w:space="0" w:color="auto"/>
                            <w:right w:val="none" w:sz="0" w:space="0" w:color="auto"/>
                          </w:divBdr>
                          <w:divsChild>
                            <w:div w:id="1448888601">
                              <w:marLeft w:val="-240"/>
                              <w:marRight w:val="-240"/>
                              <w:marTop w:val="0"/>
                              <w:marBottom w:val="0"/>
                              <w:divBdr>
                                <w:top w:val="none" w:sz="0" w:space="0" w:color="auto"/>
                                <w:left w:val="none" w:sz="0" w:space="0" w:color="auto"/>
                                <w:bottom w:val="none" w:sz="0" w:space="0" w:color="auto"/>
                                <w:right w:val="none" w:sz="0" w:space="0" w:color="auto"/>
                              </w:divBdr>
                              <w:divsChild>
                                <w:div w:id="1300187977">
                                  <w:marLeft w:val="0"/>
                                  <w:marRight w:val="0"/>
                                  <w:marTop w:val="0"/>
                                  <w:marBottom w:val="0"/>
                                  <w:divBdr>
                                    <w:top w:val="none" w:sz="0" w:space="0" w:color="auto"/>
                                    <w:left w:val="none" w:sz="0" w:space="0" w:color="auto"/>
                                    <w:bottom w:val="none" w:sz="0" w:space="0" w:color="auto"/>
                                    <w:right w:val="none" w:sz="0" w:space="0" w:color="auto"/>
                                  </w:divBdr>
                                  <w:divsChild>
                                    <w:div w:id="895431102">
                                      <w:marLeft w:val="240"/>
                                      <w:marRight w:val="660"/>
                                      <w:marTop w:val="105"/>
                                      <w:marBottom w:val="600"/>
                                      <w:divBdr>
                                        <w:top w:val="none" w:sz="0" w:space="0" w:color="auto"/>
                                        <w:left w:val="none" w:sz="0" w:space="0" w:color="auto"/>
                                        <w:bottom w:val="none" w:sz="0" w:space="0" w:color="auto"/>
                                        <w:right w:val="none" w:sz="0" w:space="0" w:color="auto"/>
                                      </w:divBdr>
                                      <w:divsChild>
                                        <w:div w:id="3118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111887">
                  <w:marLeft w:val="0"/>
                  <w:marRight w:val="0"/>
                  <w:marTop w:val="0"/>
                  <w:marBottom w:val="0"/>
                  <w:divBdr>
                    <w:top w:val="none" w:sz="0" w:space="0" w:color="auto"/>
                    <w:left w:val="none" w:sz="0" w:space="0" w:color="auto"/>
                    <w:bottom w:val="none" w:sz="0" w:space="0" w:color="auto"/>
                    <w:right w:val="none" w:sz="0" w:space="0" w:color="auto"/>
                  </w:divBdr>
                  <w:divsChild>
                    <w:div w:id="7433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004917">
      <w:bodyDiv w:val="1"/>
      <w:marLeft w:val="0"/>
      <w:marRight w:val="0"/>
      <w:marTop w:val="0"/>
      <w:marBottom w:val="0"/>
      <w:divBdr>
        <w:top w:val="none" w:sz="0" w:space="0" w:color="auto"/>
        <w:left w:val="none" w:sz="0" w:space="0" w:color="auto"/>
        <w:bottom w:val="none" w:sz="0" w:space="0" w:color="auto"/>
        <w:right w:val="none" w:sz="0" w:space="0" w:color="auto"/>
      </w:divBdr>
      <w:divsChild>
        <w:div w:id="1975328530">
          <w:marLeft w:val="0"/>
          <w:marRight w:val="0"/>
          <w:marTop w:val="0"/>
          <w:marBottom w:val="0"/>
          <w:divBdr>
            <w:top w:val="none" w:sz="0" w:space="0" w:color="auto"/>
            <w:left w:val="none" w:sz="0" w:space="0" w:color="auto"/>
            <w:bottom w:val="none" w:sz="0" w:space="0" w:color="auto"/>
            <w:right w:val="none" w:sz="0" w:space="0" w:color="auto"/>
          </w:divBdr>
          <w:divsChild>
            <w:div w:id="1880389146">
              <w:marLeft w:val="0"/>
              <w:marRight w:val="0"/>
              <w:marTop w:val="0"/>
              <w:marBottom w:val="0"/>
              <w:divBdr>
                <w:top w:val="none" w:sz="0" w:space="0" w:color="auto"/>
                <w:left w:val="none" w:sz="0" w:space="0" w:color="auto"/>
                <w:bottom w:val="none" w:sz="0" w:space="0" w:color="auto"/>
                <w:right w:val="none" w:sz="0" w:space="0" w:color="auto"/>
              </w:divBdr>
              <w:divsChild>
                <w:div w:id="31854077">
                  <w:marLeft w:val="0"/>
                  <w:marRight w:val="0"/>
                  <w:marTop w:val="0"/>
                  <w:marBottom w:val="0"/>
                  <w:divBdr>
                    <w:top w:val="none" w:sz="0" w:space="0" w:color="auto"/>
                    <w:left w:val="none" w:sz="0" w:space="0" w:color="auto"/>
                    <w:bottom w:val="none" w:sz="0" w:space="0" w:color="auto"/>
                    <w:right w:val="none" w:sz="0" w:space="0" w:color="auto"/>
                  </w:divBdr>
                  <w:divsChild>
                    <w:div w:id="1419447780">
                      <w:marLeft w:val="0"/>
                      <w:marRight w:val="0"/>
                      <w:marTop w:val="0"/>
                      <w:marBottom w:val="0"/>
                      <w:divBdr>
                        <w:top w:val="none" w:sz="0" w:space="0" w:color="auto"/>
                        <w:left w:val="none" w:sz="0" w:space="0" w:color="auto"/>
                        <w:bottom w:val="none" w:sz="0" w:space="0" w:color="auto"/>
                        <w:right w:val="none" w:sz="0" w:space="0" w:color="auto"/>
                      </w:divBdr>
                      <w:divsChild>
                        <w:div w:id="1236433550">
                          <w:marLeft w:val="0"/>
                          <w:marRight w:val="0"/>
                          <w:marTop w:val="0"/>
                          <w:marBottom w:val="0"/>
                          <w:divBdr>
                            <w:top w:val="none" w:sz="0" w:space="0" w:color="auto"/>
                            <w:left w:val="none" w:sz="0" w:space="0" w:color="auto"/>
                            <w:bottom w:val="none" w:sz="0" w:space="0" w:color="auto"/>
                            <w:right w:val="none" w:sz="0" w:space="0" w:color="auto"/>
                          </w:divBdr>
                          <w:divsChild>
                            <w:div w:id="1524787286">
                              <w:marLeft w:val="-240"/>
                              <w:marRight w:val="-240"/>
                              <w:marTop w:val="0"/>
                              <w:marBottom w:val="0"/>
                              <w:divBdr>
                                <w:top w:val="none" w:sz="0" w:space="0" w:color="auto"/>
                                <w:left w:val="none" w:sz="0" w:space="0" w:color="auto"/>
                                <w:bottom w:val="none" w:sz="0" w:space="0" w:color="auto"/>
                                <w:right w:val="none" w:sz="0" w:space="0" w:color="auto"/>
                              </w:divBdr>
                              <w:divsChild>
                                <w:div w:id="945236106">
                                  <w:marLeft w:val="0"/>
                                  <w:marRight w:val="0"/>
                                  <w:marTop w:val="0"/>
                                  <w:marBottom w:val="0"/>
                                  <w:divBdr>
                                    <w:top w:val="none" w:sz="0" w:space="0" w:color="auto"/>
                                    <w:left w:val="none" w:sz="0" w:space="0" w:color="auto"/>
                                    <w:bottom w:val="none" w:sz="0" w:space="0" w:color="auto"/>
                                    <w:right w:val="none" w:sz="0" w:space="0" w:color="auto"/>
                                  </w:divBdr>
                                  <w:divsChild>
                                    <w:div w:id="393967142">
                                      <w:marLeft w:val="240"/>
                                      <w:marRight w:val="660"/>
                                      <w:marTop w:val="105"/>
                                      <w:marBottom w:val="600"/>
                                      <w:divBdr>
                                        <w:top w:val="none" w:sz="0" w:space="0" w:color="auto"/>
                                        <w:left w:val="none" w:sz="0" w:space="0" w:color="auto"/>
                                        <w:bottom w:val="none" w:sz="0" w:space="0" w:color="auto"/>
                                        <w:right w:val="none" w:sz="0" w:space="0" w:color="auto"/>
                                      </w:divBdr>
                                      <w:divsChild>
                                        <w:div w:id="7714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04600">
                  <w:marLeft w:val="0"/>
                  <w:marRight w:val="0"/>
                  <w:marTop w:val="0"/>
                  <w:marBottom w:val="0"/>
                  <w:divBdr>
                    <w:top w:val="none" w:sz="0" w:space="0" w:color="auto"/>
                    <w:left w:val="none" w:sz="0" w:space="0" w:color="auto"/>
                    <w:bottom w:val="none" w:sz="0" w:space="0" w:color="auto"/>
                    <w:right w:val="none" w:sz="0" w:space="0" w:color="auto"/>
                  </w:divBdr>
                  <w:divsChild>
                    <w:div w:id="6954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СПб НИИФ</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Марина Евгеньевна</dc:creator>
  <cp:keywords/>
  <dc:description/>
  <cp:lastModifiedBy>Дьякова Марина Евгеньевна</cp:lastModifiedBy>
  <cp:revision>2</cp:revision>
  <cp:lastPrinted>2025-01-14T12:14:00Z</cp:lastPrinted>
  <dcterms:created xsi:type="dcterms:W3CDTF">2025-01-14T13:09:00Z</dcterms:created>
  <dcterms:modified xsi:type="dcterms:W3CDTF">2025-01-14T13:09:00Z</dcterms:modified>
</cp:coreProperties>
</file>