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7D" w:rsidRPr="00A5767D" w:rsidRDefault="00A5767D" w:rsidP="00A5767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5767D">
        <w:rPr>
          <w:rFonts w:ascii="Times New Roman" w:hAnsi="Times New Roman"/>
          <w:b/>
          <w:sz w:val="24"/>
          <w:szCs w:val="24"/>
        </w:rPr>
        <w:t xml:space="preserve">Рисунок 1. Содержание цитокинов в плазме крови больных хроническим вирусным гепатитом С при различной выраженности фиброза печени: F0-1 (n=31), F2 (n=16), F3-4 (n=16). Зеленая горизонтальная полоса обозначает </w:t>
      </w:r>
      <w:proofErr w:type="spellStart"/>
      <w:r w:rsidRPr="00A5767D">
        <w:rPr>
          <w:rFonts w:ascii="Times New Roman" w:hAnsi="Times New Roman"/>
          <w:b/>
          <w:sz w:val="24"/>
          <w:szCs w:val="24"/>
        </w:rPr>
        <w:t>межквартильный</w:t>
      </w:r>
      <w:proofErr w:type="spellEnd"/>
      <w:r w:rsidRPr="00A5767D">
        <w:rPr>
          <w:rFonts w:ascii="Times New Roman" w:hAnsi="Times New Roman"/>
          <w:b/>
          <w:sz w:val="24"/>
          <w:szCs w:val="24"/>
        </w:rPr>
        <w:t xml:space="preserve"> интервал (Q25–Q75) для здоровых доноров (n=32). Красным цветом выделены группы, которые продемонстрировали статистически значимые различия по сравнению со здоровыми донорами. </w:t>
      </w:r>
    </w:p>
    <w:p w:rsidR="00583B21" w:rsidRPr="00A5767D" w:rsidRDefault="00A5767D" w:rsidP="00A57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5767D">
        <w:rPr>
          <w:rFonts w:ascii="Times New Roman" w:hAnsi="Times New Roman"/>
          <w:sz w:val="24"/>
          <w:szCs w:val="24"/>
          <w:lang w:val="en-US"/>
        </w:rPr>
        <w:t>Figure 1. Plasma levels of cytokines in chronic hepatitis C patients with different stages of liver fibrosis: F0-1 (n=31), F2 (n=16), F3-4 (n=16). The green horizontal bar indicates the interquartile range (Q25–Q75) for healthy donors (n=32). Groups with statistically significant differences compared to healthy donors are highlighted in red.</w:t>
      </w:r>
    </w:p>
    <w:p w:rsidR="00583B21" w:rsidRPr="00583B21" w:rsidRDefault="00583B21" w:rsidP="00C21D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83B21" w:rsidRPr="00583B21" w:rsidRDefault="00C21D91" w:rsidP="00583B2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83B21">
        <w:rPr>
          <w:rFonts w:ascii="Times New Roman" w:hAnsi="Times New Roman"/>
          <w:b/>
          <w:sz w:val="24"/>
          <w:szCs w:val="24"/>
        </w:rPr>
        <w:t xml:space="preserve">Рисунок 2. Концентрации хемокинов </w:t>
      </w:r>
      <w:r w:rsidR="00583B21" w:rsidRPr="00583B21">
        <w:rPr>
          <w:rFonts w:ascii="Times New Roman" w:hAnsi="Times New Roman"/>
          <w:b/>
          <w:sz w:val="24"/>
          <w:szCs w:val="24"/>
        </w:rPr>
        <w:t xml:space="preserve">в плазме крови больных хроническим вирусным гепатитом С </w:t>
      </w:r>
      <w:proofErr w:type="spellStart"/>
      <w:r w:rsidR="00583B21" w:rsidRPr="00583B21">
        <w:rPr>
          <w:rFonts w:ascii="Times New Roman" w:hAnsi="Times New Roman"/>
          <w:b/>
          <w:sz w:val="24"/>
          <w:szCs w:val="24"/>
        </w:rPr>
        <w:t>с</w:t>
      </w:r>
      <w:proofErr w:type="spellEnd"/>
      <w:r w:rsidR="00583B21" w:rsidRPr="00583B21">
        <w:rPr>
          <w:rFonts w:ascii="Times New Roman" w:hAnsi="Times New Roman"/>
          <w:b/>
          <w:sz w:val="24"/>
          <w:szCs w:val="24"/>
        </w:rPr>
        <w:t xml:space="preserve"> различными стадиями фиброза печени: </w:t>
      </w:r>
      <w:r w:rsidR="00583B21" w:rsidRPr="00583B21">
        <w:rPr>
          <w:rFonts w:ascii="Times New Roman" w:hAnsi="Times New Roman"/>
          <w:b/>
          <w:sz w:val="24"/>
          <w:szCs w:val="24"/>
          <w:lang w:val="en-US"/>
        </w:rPr>
        <w:t>F</w:t>
      </w:r>
      <w:r w:rsidR="00583B21" w:rsidRPr="00583B21">
        <w:rPr>
          <w:rFonts w:ascii="Times New Roman" w:hAnsi="Times New Roman"/>
          <w:b/>
          <w:sz w:val="24"/>
          <w:szCs w:val="24"/>
        </w:rPr>
        <w:t>0-1 (</w:t>
      </w:r>
      <w:r w:rsidR="00583B21" w:rsidRPr="00583B21">
        <w:rPr>
          <w:rFonts w:ascii="Times New Roman" w:hAnsi="Times New Roman"/>
          <w:b/>
          <w:sz w:val="24"/>
          <w:szCs w:val="24"/>
          <w:lang w:val="en-US"/>
        </w:rPr>
        <w:t>n</w:t>
      </w:r>
      <w:r w:rsidR="00583B21" w:rsidRPr="00583B21">
        <w:rPr>
          <w:rFonts w:ascii="Times New Roman" w:hAnsi="Times New Roman"/>
          <w:b/>
          <w:sz w:val="24"/>
          <w:szCs w:val="24"/>
        </w:rPr>
        <w:t xml:space="preserve">=31), </w:t>
      </w:r>
      <w:r w:rsidR="00583B21" w:rsidRPr="00583B21">
        <w:rPr>
          <w:rFonts w:ascii="Times New Roman" w:hAnsi="Times New Roman"/>
          <w:b/>
          <w:sz w:val="24"/>
          <w:szCs w:val="24"/>
          <w:lang w:val="en-US"/>
        </w:rPr>
        <w:t>F</w:t>
      </w:r>
      <w:r w:rsidR="00583B21" w:rsidRPr="00583B21">
        <w:rPr>
          <w:rFonts w:ascii="Times New Roman" w:hAnsi="Times New Roman"/>
          <w:b/>
          <w:sz w:val="24"/>
          <w:szCs w:val="24"/>
        </w:rPr>
        <w:t>2 (</w:t>
      </w:r>
      <w:r w:rsidR="00583B21" w:rsidRPr="00583B21">
        <w:rPr>
          <w:rFonts w:ascii="Times New Roman" w:hAnsi="Times New Roman"/>
          <w:b/>
          <w:sz w:val="24"/>
          <w:szCs w:val="24"/>
          <w:lang w:val="en-US"/>
        </w:rPr>
        <w:t>n</w:t>
      </w:r>
      <w:r w:rsidR="00583B21" w:rsidRPr="00583B21">
        <w:rPr>
          <w:rFonts w:ascii="Times New Roman" w:hAnsi="Times New Roman"/>
          <w:b/>
          <w:sz w:val="24"/>
          <w:szCs w:val="24"/>
        </w:rPr>
        <w:t xml:space="preserve">=16), </w:t>
      </w:r>
      <w:r w:rsidR="00583B21" w:rsidRPr="00583B21">
        <w:rPr>
          <w:rFonts w:ascii="Times New Roman" w:hAnsi="Times New Roman"/>
          <w:b/>
          <w:sz w:val="24"/>
          <w:szCs w:val="24"/>
          <w:lang w:val="en-US"/>
        </w:rPr>
        <w:t>F</w:t>
      </w:r>
      <w:r w:rsidR="00583B21" w:rsidRPr="00583B21">
        <w:rPr>
          <w:rFonts w:ascii="Times New Roman" w:hAnsi="Times New Roman"/>
          <w:b/>
          <w:sz w:val="24"/>
          <w:szCs w:val="24"/>
        </w:rPr>
        <w:t>3-4 (</w:t>
      </w:r>
      <w:r w:rsidR="00583B21" w:rsidRPr="00583B21">
        <w:rPr>
          <w:rFonts w:ascii="Times New Roman" w:hAnsi="Times New Roman"/>
          <w:b/>
          <w:sz w:val="24"/>
          <w:szCs w:val="24"/>
          <w:lang w:val="en-US"/>
        </w:rPr>
        <w:t>n</w:t>
      </w:r>
      <w:r w:rsidR="00583B21" w:rsidRPr="00583B21">
        <w:rPr>
          <w:rFonts w:ascii="Times New Roman" w:hAnsi="Times New Roman"/>
          <w:b/>
          <w:sz w:val="24"/>
          <w:szCs w:val="24"/>
        </w:rPr>
        <w:t xml:space="preserve">=16). Зеленая горизонтальная полоса обозначает </w:t>
      </w:r>
      <w:proofErr w:type="spellStart"/>
      <w:r w:rsidR="00583B21" w:rsidRPr="00583B21">
        <w:rPr>
          <w:rFonts w:ascii="Times New Roman" w:hAnsi="Times New Roman"/>
          <w:b/>
          <w:sz w:val="24"/>
          <w:szCs w:val="24"/>
        </w:rPr>
        <w:t>межквартильный</w:t>
      </w:r>
      <w:proofErr w:type="spellEnd"/>
      <w:r w:rsidR="00583B21" w:rsidRPr="00583B21">
        <w:rPr>
          <w:rFonts w:ascii="Times New Roman" w:hAnsi="Times New Roman"/>
          <w:b/>
          <w:sz w:val="24"/>
          <w:szCs w:val="24"/>
        </w:rPr>
        <w:t xml:space="preserve"> интервал (Q25–Q75) для здоровых доноров (n=32). Красным цветом выделены группы, которые продемонстрировали статистически значимые различия по сравнению со здоровыми донорами. </w:t>
      </w:r>
    </w:p>
    <w:p w:rsidR="00583B21" w:rsidRDefault="00583B21" w:rsidP="00583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21D91">
        <w:rPr>
          <w:rFonts w:ascii="Times New Roman" w:hAnsi="Times New Roman"/>
          <w:sz w:val="24"/>
          <w:szCs w:val="24"/>
          <w:lang w:val="en-US"/>
        </w:rPr>
        <w:t xml:space="preserve">Figure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C21D91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Plasma levels of chemokines in </w:t>
      </w:r>
      <w:r w:rsidRPr="00C21D91">
        <w:rPr>
          <w:rFonts w:ascii="Times New Roman" w:hAnsi="Times New Roman"/>
          <w:sz w:val="24"/>
          <w:szCs w:val="24"/>
          <w:lang w:val="en-US"/>
        </w:rPr>
        <w:t xml:space="preserve">chronic hepatitis C </w:t>
      </w:r>
      <w:r>
        <w:rPr>
          <w:rFonts w:ascii="Times New Roman" w:hAnsi="Times New Roman"/>
          <w:sz w:val="24"/>
          <w:szCs w:val="24"/>
          <w:lang w:val="en-US"/>
        </w:rPr>
        <w:t>patient</w:t>
      </w:r>
      <w:r w:rsidRPr="00C21D91">
        <w:rPr>
          <w:rFonts w:ascii="Times New Roman" w:hAnsi="Times New Roman"/>
          <w:sz w:val="24"/>
          <w:szCs w:val="24"/>
          <w:lang w:val="en-US"/>
        </w:rPr>
        <w:t xml:space="preserve">s with different stages of liver fibrosis: F0-1 (n=31), F2 (n=16), F3-4 (n=16). The green horizontal bar indicates the interquartile range (Q25–Q75) for healthy donors (n=32). Groups </w:t>
      </w:r>
      <w:r>
        <w:rPr>
          <w:rFonts w:ascii="Times New Roman" w:hAnsi="Times New Roman"/>
          <w:sz w:val="24"/>
          <w:szCs w:val="24"/>
          <w:lang w:val="en-US"/>
        </w:rPr>
        <w:t>with</w:t>
      </w:r>
      <w:r w:rsidRPr="00C21D91">
        <w:rPr>
          <w:rFonts w:ascii="Times New Roman" w:hAnsi="Times New Roman"/>
          <w:sz w:val="24"/>
          <w:szCs w:val="24"/>
          <w:lang w:val="en-US"/>
        </w:rPr>
        <w:t xml:space="preserve"> statistically significant differences compared to healthy donors are highlighted in red. </w:t>
      </w:r>
    </w:p>
    <w:p w:rsidR="00C21D91" w:rsidRPr="00583B21" w:rsidRDefault="00C21D91" w:rsidP="00C21D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5767D" w:rsidRPr="00A5767D" w:rsidRDefault="00A5767D" w:rsidP="00A5767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767D">
        <w:rPr>
          <w:rFonts w:ascii="Times New Roman" w:hAnsi="Times New Roman"/>
          <w:b/>
          <w:sz w:val="24"/>
          <w:szCs w:val="24"/>
        </w:rPr>
        <w:t xml:space="preserve">Рисунок 3. Концентрации факторов роста в плазме крови больных хроническим вирусным гепатитом С </w:t>
      </w:r>
      <w:proofErr w:type="spellStart"/>
      <w:r w:rsidRPr="00A5767D">
        <w:rPr>
          <w:rFonts w:ascii="Times New Roman" w:hAnsi="Times New Roman"/>
          <w:b/>
          <w:sz w:val="24"/>
          <w:szCs w:val="24"/>
        </w:rPr>
        <w:t>с</w:t>
      </w:r>
      <w:proofErr w:type="spellEnd"/>
      <w:r w:rsidRPr="00A5767D">
        <w:rPr>
          <w:rFonts w:ascii="Times New Roman" w:hAnsi="Times New Roman"/>
          <w:b/>
          <w:sz w:val="24"/>
          <w:szCs w:val="24"/>
        </w:rPr>
        <w:t xml:space="preserve"> различными стадиями фиброза печени: F0-1 (n=31), F2 (n=16), F3-4 (n=16). Зеленая горизонтальная полоса обозначает </w:t>
      </w:r>
      <w:proofErr w:type="spellStart"/>
      <w:r w:rsidRPr="00A5767D">
        <w:rPr>
          <w:rFonts w:ascii="Times New Roman" w:hAnsi="Times New Roman"/>
          <w:b/>
          <w:sz w:val="24"/>
          <w:szCs w:val="24"/>
        </w:rPr>
        <w:t>межквартильный</w:t>
      </w:r>
      <w:proofErr w:type="spellEnd"/>
      <w:r w:rsidRPr="00A5767D">
        <w:rPr>
          <w:rFonts w:ascii="Times New Roman" w:hAnsi="Times New Roman"/>
          <w:b/>
          <w:sz w:val="24"/>
          <w:szCs w:val="24"/>
        </w:rPr>
        <w:t xml:space="preserve"> интервал (Q25–Q75) для здоровых доноров (n=32). Красным цветом выделены группы, которые продемонстрировали статистически значимые различия по сравнению со здоровыми донорами. </w:t>
      </w:r>
    </w:p>
    <w:p w:rsidR="00583B21" w:rsidRPr="00A5767D" w:rsidRDefault="00A5767D" w:rsidP="00A57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5767D">
        <w:rPr>
          <w:rFonts w:ascii="Times New Roman" w:hAnsi="Times New Roman"/>
          <w:sz w:val="24"/>
          <w:szCs w:val="24"/>
          <w:lang w:val="en-US"/>
        </w:rPr>
        <w:t>Figure 1. Plasma levels of growth factors in chronic hepatitis C patients with different stages of liver fibrosis: F0-1 (n=31), F2 (n=16), F3-4 (n=16). The green horizontal bar indicates the interquartile range (Q25–Q75) for healthy donors (n=32). Groups with statistically significant differences compared to healthy donors are highlighted in red.</w:t>
      </w:r>
      <w:r w:rsidR="00583B21" w:rsidRPr="00A5767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A05D3" w:rsidRPr="00583B21" w:rsidRDefault="005A05D3" w:rsidP="00583B21">
      <w:pPr>
        <w:spacing w:after="0" w:line="360" w:lineRule="auto"/>
        <w:jc w:val="both"/>
        <w:rPr>
          <w:lang w:val="en-US"/>
        </w:rPr>
      </w:pPr>
    </w:p>
    <w:sectPr w:rsidR="005A05D3" w:rsidRPr="0058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3A"/>
    <w:rsid w:val="003B443A"/>
    <w:rsid w:val="00583B21"/>
    <w:rsid w:val="005A05D3"/>
    <w:rsid w:val="00A5767D"/>
    <w:rsid w:val="00BA641F"/>
    <w:rsid w:val="00C21D91"/>
    <w:rsid w:val="00EA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62AE7-A2AC-4A74-AA7A-C8F94450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D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Наталья Александровна</dc:creator>
  <cp:keywords/>
  <dc:description/>
  <cp:lastModifiedBy>Наталья</cp:lastModifiedBy>
  <cp:revision>2</cp:revision>
  <dcterms:created xsi:type="dcterms:W3CDTF">2024-09-27T14:10:00Z</dcterms:created>
  <dcterms:modified xsi:type="dcterms:W3CDTF">2024-09-27T14:10:00Z</dcterms:modified>
</cp:coreProperties>
</file>