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1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985"/>
        <w:gridCol w:w="4395"/>
        <w:gridCol w:w="4677"/>
        <w:gridCol w:w="4253"/>
      </w:tblGrid>
      <w:tr w:rsidR="00385C9B" w:rsidRPr="00385C9B" w:rsidTr="00576BA7">
        <w:tc>
          <w:tcPr>
            <w:tcW w:w="1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5C9B" w:rsidRPr="00385C9B" w:rsidRDefault="00385C9B" w:rsidP="007F63E8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Порядковый номер ссылки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5C9B" w:rsidRPr="00385C9B" w:rsidRDefault="00385C9B" w:rsidP="007F63E8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5C9B" w:rsidRPr="00385C9B" w:rsidRDefault="00385C9B" w:rsidP="007F63E8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85C9B" w:rsidRPr="007F63E8" w:rsidRDefault="00385C9B" w:rsidP="007F63E8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5C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Полный интернет-адрес (URL) цитируемой статьи и/или</w:t>
            </w:r>
            <w:r w:rsidR="00576BA7" w:rsidRPr="00576B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ее </w:t>
            </w:r>
            <w:proofErr w:type="spellStart"/>
            <w:r w:rsidR="00576BA7" w:rsidRPr="00576BA7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doi</w:t>
            </w:r>
            <w:proofErr w:type="spellEnd"/>
          </w:p>
        </w:tc>
      </w:tr>
      <w:tr w:rsidR="00385C9B" w:rsidRPr="001D465F" w:rsidTr="00576BA7">
        <w:tc>
          <w:tcPr>
            <w:tcW w:w="1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5C9B" w:rsidRPr="00385C9B" w:rsidRDefault="00385C9B" w:rsidP="007F63E8">
            <w:pPr>
              <w:pStyle w:val="a3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5C9B" w:rsidRPr="00385C9B" w:rsidRDefault="00385C9B" w:rsidP="007F6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Титов В.Н., Близнюков О.П. </w:t>
            </w:r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– реактивный белок: физико-химические свойства, методы определе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ния и диагностическое значение</w:t>
            </w:r>
            <w:r w:rsidR="001D465F" w:rsidRPr="001D46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//</w:t>
            </w:r>
            <w:r w:rsidR="001D465F" w:rsidRPr="001D46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Клиническая лабораторная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</w:t>
            </w:r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иагностика. –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2004. –  № 4. –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3– 9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5C9B" w:rsidRPr="00385C9B" w:rsidRDefault="00385C9B" w:rsidP="007F63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Titov</w:t>
            </w:r>
            <w:proofErr w:type="spellEnd"/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V.N., </w:t>
            </w:r>
            <w:proofErr w:type="spellStart"/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Bliznyukov</w:t>
            </w:r>
            <w:proofErr w:type="spellEnd"/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.P.</w:t>
            </w:r>
            <w:r w:rsidRPr="00385C9B">
              <w:rPr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-reactive protein: its physical-and-chemical properties, determination techniques and diagnostic value.</w:t>
            </w:r>
            <w:r w:rsidRPr="00385C9B">
              <w:rPr>
                <w:lang w:val="en-US"/>
              </w:rPr>
              <w:t xml:space="preserve"> </w:t>
            </w:r>
            <w:r w:rsidRPr="001D465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en-US"/>
              </w:rPr>
              <w:t>Clinical Laboratory Diagnostics</w:t>
            </w:r>
            <w:r w:rsid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200</w:t>
            </w:r>
            <w:bookmarkStart w:id="0" w:name="_GoBack"/>
            <w:bookmarkEnd w:id="0"/>
            <w:r w:rsid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4,</w:t>
            </w:r>
            <w:r w:rsid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no.4</w:t>
            </w:r>
            <w:r w:rsidR="001D46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, pp.3</w:t>
            </w:r>
            <w:r w:rsid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-9.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85C9B" w:rsidRDefault="001D465F" w:rsidP="007F63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hyperlink r:id="rId5" w:history="1">
              <w:r w:rsidR="00576BA7" w:rsidRPr="0000716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 w:eastAsia="ru-RU"/>
                </w:rPr>
                <w:t>https://www.elibrary.ru/item.asp?edn=ojfsux&amp;ysclid=m15ckdkjxp498435675</w:t>
              </w:r>
            </w:hyperlink>
          </w:p>
          <w:p w:rsidR="00576BA7" w:rsidRPr="00385C9B" w:rsidRDefault="00576BA7" w:rsidP="007F63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356D5" w:rsidRPr="00385C9B" w:rsidTr="00576BA7">
        <w:tc>
          <w:tcPr>
            <w:tcW w:w="1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56D5" w:rsidRPr="001356D5" w:rsidRDefault="001356D5" w:rsidP="007F63E8">
            <w:pPr>
              <w:pStyle w:val="a3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56D5" w:rsidRPr="00385C9B" w:rsidRDefault="001356D5" w:rsidP="007F6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Cecerska-Heryć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E.,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Ronkowski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B.,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Heryć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R.,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Serwin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N.,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Grygorcewicz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B.,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Roszak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M., Galant K.,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DołęgowskaB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1356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Proteomic and </w:t>
            </w:r>
            <w:proofErr w:type="spellStart"/>
            <w:r w:rsidRPr="001356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lipidomic</w:t>
            </w:r>
            <w:proofErr w:type="spellEnd"/>
            <w:r w:rsidRPr="001356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biomarkers in the diagnosis and progression of inflammatory bowel disease - a review. </w:t>
            </w:r>
            <w:r w:rsidRPr="001356D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>Proteomics. Clinical applications</w:t>
            </w:r>
            <w:r w:rsidRPr="001356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, 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2023, Vol. </w:t>
            </w:r>
            <w:r w:rsidRPr="001356D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>17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no.1, pp.</w:t>
            </w:r>
            <w:r w:rsidRPr="001356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e2200003. 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56D5" w:rsidRPr="00BD0E73" w:rsidRDefault="00BD0E73" w:rsidP="007F63E8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356D5" w:rsidRPr="00385C9B" w:rsidRDefault="001356D5" w:rsidP="007F63E8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1356D5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https://doi.org/10.1002/prca.202200003</w:t>
            </w:r>
          </w:p>
        </w:tc>
      </w:tr>
      <w:tr w:rsidR="001356D5" w:rsidRPr="00385C9B" w:rsidTr="00576BA7">
        <w:tc>
          <w:tcPr>
            <w:tcW w:w="1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56D5" w:rsidRPr="00576BA7" w:rsidRDefault="001356D5" w:rsidP="007F63E8">
            <w:pPr>
              <w:pStyle w:val="a3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56D5" w:rsidRPr="00385C9B" w:rsidRDefault="001356D5" w:rsidP="007F6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Lee J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, Lee K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M. </w:t>
            </w:r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Endoscopic diagnosis and differentiation of inflammatory bowel disease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Clin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Endosc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.,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2016, Vol. 49, no.4, pp</w:t>
            </w:r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 370–375.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56D5" w:rsidRPr="00BD0E73" w:rsidRDefault="00BD0E73" w:rsidP="007F63E8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356D5" w:rsidRPr="00385C9B" w:rsidRDefault="001356D5" w:rsidP="007F63E8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1356D5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https://doi.org/10.5946/ce.2016.090</w:t>
            </w:r>
          </w:p>
        </w:tc>
      </w:tr>
      <w:tr w:rsidR="001356D5" w:rsidRPr="00385C9B" w:rsidTr="00576BA7">
        <w:tc>
          <w:tcPr>
            <w:tcW w:w="1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56D5" w:rsidRPr="001356D5" w:rsidRDefault="001356D5" w:rsidP="007F63E8">
            <w:pPr>
              <w:pStyle w:val="a3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56D5" w:rsidRPr="00385C9B" w:rsidRDefault="001356D5" w:rsidP="007F6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Liu D.,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Saikam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V.,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Skrada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K. A., Merlin D.,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Iyer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, S. S</w:t>
            </w:r>
            <w:r w:rsidRPr="001356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 Inflammatory bowel disease biomarkers. </w:t>
            </w:r>
            <w:r w:rsidRPr="001356D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>Medicinal research reviews</w:t>
            </w:r>
            <w:r w:rsidRPr="001356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, 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2022, Vol. </w:t>
            </w:r>
            <w:r w:rsidRPr="001356D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>42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, no.5</w:t>
            </w:r>
            <w:r w:rsidRPr="001356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pp.</w:t>
            </w:r>
            <w:r w:rsidRPr="001356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1856–1887. 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56D5" w:rsidRPr="00BD0E73" w:rsidRDefault="00BD0E73" w:rsidP="007F63E8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356D5" w:rsidRPr="00385C9B" w:rsidRDefault="001356D5" w:rsidP="007F63E8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1356D5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https://doi.org/10.1002/med.21893</w:t>
            </w:r>
          </w:p>
        </w:tc>
      </w:tr>
      <w:tr w:rsidR="001356D5" w:rsidRPr="007F63E8" w:rsidTr="00576BA7">
        <w:tc>
          <w:tcPr>
            <w:tcW w:w="1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56D5" w:rsidRPr="00385C9B" w:rsidRDefault="001356D5" w:rsidP="007F63E8">
            <w:pPr>
              <w:pStyle w:val="a3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56D5" w:rsidRPr="00385C9B" w:rsidRDefault="001356D5" w:rsidP="007F6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Molodecky</w:t>
            </w:r>
            <w:proofErr w:type="spellEnd"/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N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, Soon I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, Rabi D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Ghali</w:t>
            </w:r>
            <w:proofErr w:type="spellEnd"/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W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, Ferris M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Chernoff</w:t>
            </w:r>
            <w:proofErr w:type="spellEnd"/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G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Benchimol</w:t>
            </w:r>
            <w:proofErr w:type="spellEnd"/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E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Panaccione</w:t>
            </w:r>
            <w:proofErr w:type="spellEnd"/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R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, Ghosh S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Barkema</w:t>
            </w:r>
            <w:proofErr w:type="spellEnd"/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H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W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, Kaplan G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57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G.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Increasing incidence and prevalence of the inflammatory bowel diseases with time, based on systematic review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.Gastroenterology,2012, Vol. 142,pp.</w:t>
            </w:r>
            <w:r w:rsidRPr="00385C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46–54.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56D5" w:rsidRPr="00BD0E73" w:rsidRDefault="00BD0E73" w:rsidP="007F63E8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356D5" w:rsidRPr="001D465F" w:rsidRDefault="001356D5" w:rsidP="007F63E8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6BA7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1D46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://</w:t>
            </w:r>
            <w:proofErr w:type="spellStart"/>
            <w:r w:rsidRPr="00576BA7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doi</w:t>
            </w:r>
            <w:proofErr w:type="spellEnd"/>
            <w:r w:rsidRPr="001D46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576BA7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org</w:t>
            </w:r>
            <w:r w:rsidRPr="001D46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/10.1053/</w:t>
            </w:r>
            <w:r w:rsidRPr="00576BA7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j</w:t>
            </w:r>
            <w:r w:rsidRPr="001D46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576BA7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gastro</w:t>
            </w:r>
            <w:r w:rsidRPr="001D46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.2011.10.001</w:t>
            </w:r>
          </w:p>
        </w:tc>
      </w:tr>
    </w:tbl>
    <w:p w:rsidR="00C128C5" w:rsidRPr="001D465F" w:rsidRDefault="00C128C5"/>
    <w:sectPr w:rsidR="00C128C5" w:rsidRPr="001D465F" w:rsidSect="00385C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1402E"/>
    <w:multiLevelType w:val="hybridMultilevel"/>
    <w:tmpl w:val="EBDCE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9B"/>
    <w:rsid w:val="001356D5"/>
    <w:rsid w:val="001D465F"/>
    <w:rsid w:val="00385C9B"/>
    <w:rsid w:val="00576BA7"/>
    <w:rsid w:val="007F63E8"/>
    <w:rsid w:val="00BD0E73"/>
    <w:rsid w:val="00C1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0B92C-6FBF-4A6B-9919-CF90125A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C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6BA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76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library.ru/item.asp?edn=ojfsux&amp;ysclid=m15ckdkjxp4984356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Хужахметова</dc:creator>
  <cp:keywords/>
  <dc:description/>
  <cp:lastModifiedBy>Учетная запись Майкрософт</cp:lastModifiedBy>
  <cp:revision>4</cp:revision>
  <dcterms:created xsi:type="dcterms:W3CDTF">2024-09-19T11:57:00Z</dcterms:created>
  <dcterms:modified xsi:type="dcterms:W3CDTF">2024-09-19T18:25:00Z</dcterms:modified>
</cp:coreProperties>
</file>