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5C" w:rsidRPr="0046447B" w:rsidRDefault="00FC505C" w:rsidP="00FC50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92154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/References</w:t>
      </w:r>
      <w:r w:rsidR="004644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3"/>
        <w:tblW w:w="15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5438"/>
        <w:gridCol w:w="4253"/>
      </w:tblGrid>
      <w:tr w:rsidR="00FC505C" w:rsidTr="00FC505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5C" w:rsidRPr="00896882" w:rsidRDefault="00FC505C" w:rsidP="0016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5C" w:rsidRPr="00896882" w:rsidRDefault="00FC505C" w:rsidP="0046447B">
            <w:pPr>
              <w:spacing w:after="0"/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5C" w:rsidRPr="00896882" w:rsidRDefault="00FC505C" w:rsidP="0046447B">
            <w:pPr>
              <w:spacing w:after="0"/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5C" w:rsidRPr="00896882" w:rsidRDefault="00FC505C" w:rsidP="0046447B">
            <w:pPr>
              <w:spacing w:after="0"/>
              <w:ind w:right="-1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r w:rsidRPr="00896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DOI</w:t>
            </w:r>
          </w:p>
        </w:tc>
      </w:tr>
      <w:tr w:rsidR="00D22035" w:rsidRPr="00E742D6" w:rsidTr="00D22035">
        <w:trPr>
          <w:trHeight w:val="17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EF22E5">
            <w:pPr>
              <w:spacing w:after="0" w:line="240" w:lineRule="auto"/>
              <w:jc w:val="both"/>
              <w:rPr>
                <w:rStyle w:val="extendedtext-full"/>
                <w:rFonts w:ascii="Times New Roman" w:hAnsi="Times New Roman" w:cs="Times New Roman"/>
                <w:bCs/>
                <w:sz w:val="24"/>
                <w:szCs w:val="24"/>
              </w:rPr>
            </w:pPr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Глушков А.Н.,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Е.Г., Мун С.А., Гордеева Л.А.,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Костянко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М.В., Антонов А.В., Вержбицкая Н.Е.,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Вафин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И.А. Индивидуальный иммунологический фенотип и риск рака молочной железы у женщин в постменопаузе</w:t>
            </w: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. // Российский иммунологический журнал. – 2019. – Т.13, </w:t>
            </w:r>
            <w:r w:rsidRPr="00EF22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1. – С. </w:t>
            </w: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 xml:space="preserve">44-52.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B5880" w:rsidRDefault="00EF22E5" w:rsidP="00AA1C41">
            <w:pPr>
              <w:spacing w:after="0" w:line="240" w:lineRule="auto"/>
              <w:jc w:val="both"/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Glushkov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A.N.,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Mun S.A., Gordeeva L.A.,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M.V., Antonov A.V.,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N.E.,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 Personal immunological </w:t>
            </w:r>
            <w:r w:rsidRPr="00EB58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phenotype and breast cancer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 in postmenopausal women</w:t>
            </w:r>
            <w:r w:rsidRPr="00EB58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Russian Journal of Immunology, 2019, Vol. 13, no. 1, pp. 44-52. (In Russ.)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CF578B">
            <w:pPr>
              <w:tabs>
                <w:tab w:val="left" w:pos="-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[</w:t>
            </w:r>
            <w:r w:rsidRPr="00EF2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EF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10.31857/</w:t>
            </w: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e-IL"/>
              </w:rPr>
              <w:t>S</w:t>
            </w:r>
            <w:r w:rsidRPr="00EF22E5">
              <w:rPr>
                <w:rFonts w:ascii="Times New Roman" w:hAnsi="Times New Roman" w:cs="Times New Roman"/>
                <w:color w:val="000000"/>
                <w:sz w:val="24"/>
                <w:szCs w:val="24"/>
                <w:lang w:bidi="he-IL"/>
              </w:rPr>
              <w:t>102872210005019-5]</w:t>
            </w:r>
          </w:p>
        </w:tc>
      </w:tr>
      <w:tr w:rsidR="00D22035" w:rsidRPr="00E742D6" w:rsidTr="00E742D6">
        <w:trPr>
          <w:trHeight w:val="17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EF22E5">
            <w:pPr>
              <w:spacing w:after="0" w:line="240" w:lineRule="auto"/>
              <w:jc w:val="both"/>
              <w:rPr>
                <w:rStyle w:val="extendedtext-full"/>
                <w:rFonts w:ascii="Times New Roman" w:hAnsi="Times New Roman" w:cs="Times New Roman"/>
                <w:bCs/>
                <w:color w:val="548DD4" w:themeColor="text2" w:themeTint="99"/>
                <w:sz w:val="24"/>
                <w:szCs w:val="24"/>
              </w:rPr>
            </w:pP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Е.Г., Гордеева Л.А., Мун С.А.,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Костянко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М.В., Антонов А.В., Вержбицкая Н.Е., Байрамов П.В.,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Колпинский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Г.И.,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Вафин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</w:rPr>
              <w:t xml:space="preserve"> И.А., Глушков А.Н. Кооперативное участие идиотипических и антиидиотипических антител в стероид-зависимом химическом канцерогенезе. // Российский иммунологический журнал. – 2023. – Т. 26, № 1. – С. 27-40.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B5880" w:rsidRDefault="00EF22E5" w:rsidP="00CF578B">
            <w:pPr>
              <w:spacing w:after="0" w:line="240" w:lineRule="auto"/>
              <w:jc w:val="both"/>
              <w:rPr>
                <w:rStyle w:val="extendedtext-full"/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Polenok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Gordeeva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Kostyanko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Antonov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Verzhbitskaya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Bairamov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Kolpinskiy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Vafin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Glushkov</w:t>
            </w:r>
            <w:proofErr w:type="spellEnd"/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idiotypic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idiotypic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antibodies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steroid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depended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Pr="00EB5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58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Russian Journal of Immunology, 2023, Vol. 26, no. 1, pp. 27-40. (In Russ.)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CF578B">
            <w:pPr>
              <w:tabs>
                <w:tab w:val="left" w:pos="-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F2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EF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F22E5">
              <w:rPr>
                <w:rStyle w:val="docsum-journal-cit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10.46235/1028-7221-1177-</w:t>
            </w: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COI</w:t>
            </w:r>
            <w:r w:rsidRPr="00EF22E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22035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2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Cavalieri E.L.</w:t>
            </w: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Rogan E.G., Zahid M.  Critical </w:t>
            </w:r>
            <w:proofErr w:type="spellStart"/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depurinating</w:t>
            </w:r>
            <w:proofErr w:type="spellEnd"/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DNA adducts: Estrogen adducts in the etiology and prevention of cancer and dopamine adducts in the etiology and prevention of Parkinson's disease. </w:t>
            </w:r>
            <w:r w:rsidRPr="00EF22E5"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>Int. J. Cancer</w:t>
            </w: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22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2017, </w:t>
            </w: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141, no. 6, pp. 1078-1090.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D22035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EF22E5" w:rsidRDefault="00EF22E5" w:rsidP="00CF578B">
            <w:pPr>
              <w:spacing w:after="0" w:line="240" w:lineRule="auto"/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F2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 w:rsidRPr="00EF2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10.1002/ijc.30728]</w:t>
            </w:r>
          </w:p>
        </w:tc>
      </w:tr>
      <w:tr w:rsidR="00D22035" w:rsidRPr="00E742D6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CF578B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A7A">
              <w:rPr>
                <w:rStyle w:val="docsum-authors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Floris M.</w:t>
            </w:r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Sanna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Castiglia P.,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Putzu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Sanna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Pazzola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De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Miglio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M.R.,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Sanges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Pira G.,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Azara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Lampis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Serra A.,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Carru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Steri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Costanza F.,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Bisail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Muroni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M.R.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MTHFR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40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XRCC1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240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OGG1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genetic polymorphisms in breast cancer: a case-control study in a population from North Sardinia.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BMC Cancer, 2020,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234.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707E75" w:rsidRDefault="00D22035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35" w:rsidRPr="00707E75" w:rsidRDefault="00EF22E5" w:rsidP="00CF578B">
            <w:pPr>
              <w:spacing w:after="0" w:line="240" w:lineRule="auto"/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DOI: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10.1186/s12885-020-06749-w]</w:t>
            </w:r>
          </w:p>
        </w:tc>
      </w:tr>
      <w:tr w:rsidR="00CF578B" w:rsidTr="00EF22E5">
        <w:trPr>
          <w:trHeight w:val="1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Greiner M., Pfeiffer D., Smith R.D. Principles and practical application of the receiver operating characteristic analysis for diagnostic test. Prev. Vet. Med., 2000, Vol. 45, pp. 23-41.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707E75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707E75" w:rsidRDefault="00EF22E5" w:rsidP="00CF578B">
            <w:pPr>
              <w:spacing w:after="0" w:line="240" w:lineRule="auto"/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[DOI: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10.1016/S0167-5877(00)00115-X]</w:t>
            </w:r>
          </w:p>
        </w:tc>
      </w:tr>
      <w:tr w:rsidR="00CF578B" w:rsidRPr="00707E75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Li H., Ha T.C., Tai B.C.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XRCC1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gene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polymorphisms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breast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cancer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risk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different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populations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a 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meta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240A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analysis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Breast, 2009,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183-191.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707E75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707E75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docsum-authors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10.1016/j.breast.2009.03.008]</w:t>
            </w:r>
          </w:p>
        </w:tc>
      </w:tr>
      <w:tr w:rsidR="00CF578B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380FD0" w:rsidP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Style w:val="docsum-authors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Nagpal A.</w:t>
            </w:r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Verma S., Shah R., Bhat G.R., Bhat A.,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Bakshi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Sharma B., Kaul S., Kumar R.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Genetic polymorphism of </w:t>
            </w:r>
            <w:r w:rsidRPr="00240A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hOGG1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ser326cys and its association with breast cancer in Jammu and Kashmir.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Indian J Cancer, 2020,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57,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187-189.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380FD0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10.4103/ijc.IJC_676_18]</w:t>
            </w:r>
          </w:p>
        </w:tc>
      </w:tr>
      <w:tr w:rsidR="00CF578B" w:rsidRPr="00EF22E5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Pruthi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Yang L., Sandhu N.P., Ingle J.N., Beseler C.L., Suman V.J., Cavalieri E.L., Rogan E.G. Evaluation of serum estrogen-DNA adducts as potential biomarkers for breast cancer risk. </w:t>
            </w:r>
            <w:r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Steroid </w:t>
            </w:r>
            <w:proofErr w:type="spellStart"/>
            <w:r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>
              <w:rPr>
                <w:rStyle w:val="jrnl"/>
                <w:rFonts w:ascii="Times New Roman" w:hAnsi="Times New Roman" w:cs="Times New Roman"/>
                <w:sz w:val="24"/>
                <w:szCs w:val="24"/>
                <w:lang w:val="en-US"/>
              </w:rPr>
              <w:t>. Mol. Biol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2012,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132, no. 1-2, pp. 73-79.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docsum-authors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10.1016/j.jsbmb.2012.02.002]</w:t>
            </w:r>
          </w:p>
        </w:tc>
      </w:tr>
      <w:tr w:rsidR="00CF578B" w:rsidRPr="00E05263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Sambrook J., Fritsch E.F., </w:t>
            </w:r>
            <w:proofErr w:type="spellStart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Maniatis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Molecular cloning: A Laboratory Manual. Cold Spring </w:t>
            </w:r>
            <w:proofErr w:type="spellStart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Habor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Laboratory press, 1989. 479 p.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docsum-authors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F578B" w:rsidRPr="00E05263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CF578B" w:rsidP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80FD0" w:rsidRPr="00AF12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Smith T.R., Levine E.A.,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Freimanis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R.I., </w:t>
            </w:r>
            <w:proofErr w:type="spellStart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>Akman</w:t>
            </w:r>
            <w:proofErr w:type="spellEnd"/>
            <w:r w:rsidRPr="00240A7A">
              <w:rPr>
                <w:rStyle w:val="docsum-author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S.A., Allen G.O., Hoang K.N., Liu-Mares W., Hu J.J.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Polygenic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model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DNA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repair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genetic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polymorphisms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human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breast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cancer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risk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Carcinogenesis, 2008,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2132-2138.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10.1093/</w:t>
            </w:r>
            <w:proofErr w:type="spellStart"/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carcin</w:t>
            </w:r>
            <w:proofErr w:type="spellEnd"/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/bgn193]</w:t>
            </w:r>
          </w:p>
        </w:tc>
      </w:tr>
      <w:tr w:rsidR="00CF578B" w:rsidRPr="00E05263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CF578B" w:rsidP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80FD0" w:rsidRPr="00AF1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Yager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J.D. Mechanisms of estrogen carcinogenesis: The role of E2/E1–quinone metabolites suggests new approaches to preventive intervention – A review. Steroids, 2015, Vol. 99 (Pt A), pp. 56-60.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Style w:val="docsum-journal-citation"/>
                <w:rFonts w:ascii="Times New Roman" w:hAnsi="Times New Roman" w:cs="Times New Roman"/>
                <w:sz w:val="24"/>
                <w:szCs w:val="24"/>
                <w:lang w:val="en-US"/>
              </w:rPr>
              <w:t>10.1016/j.steroids.2014.08.006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CF578B" w:rsidRPr="00E05263" w:rsidTr="00EF22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AF12E3" w:rsidRDefault="00CF578B" w:rsidP="00380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80FD0" w:rsidRPr="00AF1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F81B99" w:rsidRDefault="00EF22E5" w:rsidP="00EF22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Yang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 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L.,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Zahid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M., Liao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Y., Rogan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E.G., Cavalieri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E.L., Davidson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N.E.,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Yager</w:t>
            </w:r>
            <w:proofErr w:type="spellEnd"/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J.D., Visvanathan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K., </w:t>
            </w:r>
            <w:proofErr w:type="spellStart"/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Groopman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J.D., </w:t>
            </w:r>
            <w:proofErr w:type="spellStart"/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Kensler</w:t>
            </w:r>
            <w:proofErr w:type="spellEnd"/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T.W.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Reduced formation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of </w:t>
            </w:r>
            <w:proofErr w:type="spellStart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depurinating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estrogen–DNA adducts by sulforaphane or KEAP1 disruption in human mammary epithelial MCF-10A cells.</w:t>
            </w:r>
            <w:r w:rsidRPr="00240A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40A7A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Carcinogenesis</w:t>
            </w:r>
            <w:r w:rsidRPr="00240A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2013, Vol. 34, no 11, pp. 2587–2592.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CF578B" w:rsidP="00CF57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8B" w:rsidRPr="00E05263" w:rsidRDefault="00EF22E5" w:rsidP="00CF578B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docsum-authors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40A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10.1093/</w:t>
            </w:r>
            <w:proofErr w:type="spellStart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carcin</w:t>
            </w:r>
            <w:proofErr w:type="spellEnd"/>
            <w:r w:rsidRPr="0024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/bgt246]</w:t>
            </w:r>
          </w:p>
        </w:tc>
      </w:tr>
    </w:tbl>
    <w:p w:rsidR="00FC505C" w:rsidRPr="00E05263" w:rsidRDefault="00FC505C">
      <w:pPr>
        <w:rPr>
          <w:lang w:val="en-US"/>
        </w:rPr>
      </w:pPr>
    </w:p>
    <w:sectPr w:rsidR="00FC505C" w:rsidRPr="00E05263" w:rsidSect="00A676E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11ADD"/>
    <w:multiLevelType w:val="hybridMultilevel"/>
    <w:tmpl w:val="2E2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05C"/>
    <w:rsid w:val="000900F2"/>
    <w:rsid w:val="001770B9"/>
    <w:rsid w:val="001D144B"/>
    <w:rsid w:val="00221E74"/>
    <w:rsid w:val="00357E9E"/>
    <w:rsid w:val="00380FD0"/>
    <w:rsid w:val="003C6C70"/>
    <w:rsid w:val="004533F1"/>
    <w:rsid w:val="0046447B"/>
    <w:rsid w:val="00593DDA"/>
    <w:rsid w:val="005E0FAA"/>
    <w:rsid w:val="00613E04"/>
    <w:rsid w:val="00707E75"/>
    <w:rsid w:val="007B6569"/>
    <w:rsid w:val="00806A80"/>
    <w:rsid w:val="00A66FAB"/>
    <w:rsid w:val="00A676ED"/>
    <w:rsid w:val="00AA1C41"/>
    <w:rsid w:val="00AF12E3"/>
    <w:rsid w:val="00CF578B"/>
    <w:rsid w:val="00D22035"/>
    <w:rsid w:val="00DF6FBC"/>
    <w:rsid w:val="00E05263"/>
    <w:rsid w:val="00E742D6"/>
    <w:rsid w:val="00E967DE"/>
    <w:rsid w:val="00EB5880"/>
    <w:rsid w:val="00EF22E5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842F3-BC93-488F-A8E2-E341EC63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05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5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505C"/>
    <w:rPr>
      <w:color w:val="0000FF" w:themeColor="hyperlink"/>
      <w:u w:val="single"/>
    </w:rPr>
  </w:style>
  <w:style w:type="character" w:customStyle="1" w:styleId="extendedtext-full">
    <w:name w:val="extendedtext-full"/>
    <w:basedOn w:val="a0"/>
    <w:rsid w:val="00FC505C"/>
  </w:style>
  <w:style w:type="character" w:customStyle="1" w:styleId="docsum-journal-citation">
    <w:name w:val="docsum-journal-citation"/>
    <w:basedOn w:val="a0"/>
    <w:rsid w:val="00FC505C"/>
  </w:style>
  <w:style w:type="character" w:customStyle="1" w:styleId="docsum-authors">
    <w:name w:val="docsum-authors"/>
    <w:basedOn w:val="a0"/>
    <w:rsid w:val="00FC505C"/>
  </w:style>
  <w:style w:type="character" w:customStyle="1" w:styleId="highlight">
    <w:name w:val="highlight"/>
    <w:basedOn w:val="a0"/>
    <w:rsid w:val="00FC505C"/>
  </w:style>
  <w:style w:type="character" w:customStyle="1" w:styleId="apple-converted-space">
    <w:name w:val="apple-converted-space"/>
    <w:basedOn w:val="a0"/>
    <w:rsid w:val="00FC505C"/>
  </w:style>
  <w:style w:type="character" w:customStyle="1" w:styleId="info">
    <w:name w:val="info"/>
    <w:basedOn w:val="a0"/>
    <w:rsid w:val="00FC505C"/>
  </w:style>
  <w:style w:type="character" w:styleId="a5">
    <w:name w:val="Strong"/>
    <w:basedOn w:val="a0"/>
    <w:uiPriority w:val="22"/>
    <w:qFormat/>
    <w:rsid w:val="00FC505C"/>
    <w:rPr>
      <w:b/>
      <w:bCs/>
    </w:rPr>
  </w:style>
  <w:style w:type="character" w:customStyle="1" w:styleId="cit">
    <w:name w:val="cit"/>
    <w:basedOn w:val="a0"/>
    <w:rsid w:val="00FC505C"/>
  </w:style>
  <w:style w:type="character" w:customStyle="1" w:styleId="period">
    <w:name w:val="period"/>
    <w:basedOn w:val="a0"/>
    <w:rsid w:val="00FC505C"/>
  </w:style>
  <w:style w:type="character" w:customStyle="1" w:styleId="citation-doi">
    <w:name w:val="citation-doi"/>
    <w:basedOn w:val="a0"/>
    <w:rsid w:val="00FC505C"/>
  </w:style>
  <w:style w:type="paragraph" w:customStyle="1" w:styleId="desc">
    <w:name w:val="desc"/>
    <w:basedOn w:val="a"/>
    <w:rsid w:val="0046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5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rnl">
    <w:name w:val="jrnl"/>
    <w:basedOn w:val="a0"/>
    <w:rsid w:val="00CF578B"/>
  </w:style>
  <w:style w:type="character" w:customStyle="1" w:styleId="authors-list-item">
    <w:name w:val="authors-list-item"/>
    <w:basedOn w:val="a0"/>
    <w:rsid w:val="00CF578B"/>
  </w:style>
  <w:style w:type="character" w:customStyle="1" w:styleId="author-sup-separator">
    <w:name w:val="author-sup-separator"/>
    <w:basedOn w:val="a0"/>
    <w:rsid w:val="00CF578B"/>
  </w:style>
  <w:style w:type="character" w:customStyle="1" w:styleId="comma">
    <w:name w:val="comma"/>
    <w:basedOn w:val="a0"/>
    <w:rsid w:val="00CF578B"/>
  </w:style>
  <w:style w:type="paragraph" w:styleId="a6">
    <w:name w:val="List Paragraph"/>
    <w:basedOn w:val="a"/>
    <w:uiPriority w:val="34"/>
    <w:qFormat/>
    <w:rsid w:val="00EF22E5"/>
    <w:pPr>
      <w:ind w:left="720"/>
      <w:contextualSpacing/>
    </w:pPr>
  </w:style>
  <w:style w:type="character" w:styleId="a7">
    <w:name w:val="Emphasis"/>
    <w:basedOn w:val="a0"/>
    <w:uiPriority w:val="20"/>
    <w:qFormat/>
    <w:rsid w:val="00EF2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1DA5-CBD4-4E5A-B5F6-13853D08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dcterms:created xsi:type="dcterms:W3CDTF">2023-10-17T03:54:00Z</dcterms:created>
  <dcterms:modified xsi:type="dcterms:W3CDTF">2023-10-31T04:59:00Z</dcterms:modified>
</cp:coreProperties>
</file>