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C6A" w:rsidRDefault="00654C6A" w:rsidP="00654C6A">
      <w:pPr>
        <w:spacing w:after="0" w:line="48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>
        <w:rPr>
          <w:rFonts w:ascii="Times New Roman" w:hAnsi="Times New Roman" w:cs="Times New Roman"/>
          <w:sz w:val="28"/>
          <w:lang w:val="en-US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</w:p>
    <w:p w:rsidR="00654C6A" w:rsidRDefault="00654C6A" w:rsidP="00654C6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Число (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>) и частота встречаемости (%) низких (</w:t>
      </w:r>
      <w:r>
        <w:rPr>
          <w:rFonts w:ascii="Times New Roman" w:hAnsi="Times New Roman" w:cs="Times New Roman"/>
          <w:sz w:val="28"/>
          <w:szCs w:val="24"/>
        </w:rPr>
        <w:t xml:space="preserve">≤) и высоких (&gt;) уровней идиотипических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антител, специфичных к эстрадиолу (</w:t>
      </w:r>
      <w:r>
        <w:rPr>
          <w:rFonts w:ascii="Times New Roman" w:hAnsi="Times New Roman" w:cs="Times New Roman"/>
          <w:sz w:val="28"/>
          <w:szCs w:val="24"/>
          <w:lang w:val="en-US"/>
        </w:rPr>
        <w:t>IgA</w:t>
      </w:r>
      <w:r>
        <w:rPr>
          <w:rFonts w:ascii="Times New Roman" w:hAnsi="Times New Roman" w:cs="Times New Roman"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2 и </w:t>
      </w:r>
      <w:r>
        <w:rPr>
          <w:rFonts w:ascii="Times New Roman" w:hAnsi="Times New Roman" w:cs="Times New Roman"/>
          <w:sz w:val="28"/>
          <w:szCs w:val="24"/>
          <w:lang w:val="en-US"/>
        </w:rPr>
        <w:t>IgG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2), и их комбинаций у больных РМЖ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  <w:lang w:val="en-US"/>
        </w:rPr>
        <w:t>IV</w:t>
      </w:r>
      <w:r w:rsidRPr="008B7F0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стадий в зависимости от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val="en-US" w:eastAsia="ru-RU"/>
        </w:rPr>
        <w:t>hOGG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генетических вариантов и </w:t>
      </w:r>
      <w:r>
        <w:rPr>
          <w:rFonts w:ascii="Times New Roman" w:hAnsi="Times New Roman" w:cs="Times New Roman"/>
          <w:sz w:val="28"/>
          <w:szCs w:val="24"/>
          <w:lang w:val="en-US"/>
        </w:rPr>
        <w:t>Ki</w:t>
      </w:r>
      <w:r>
        <w:rPr>
          <w:rFonts w:ascii="Times New Roman" w:hAnsi="Times New Roman" w:cs="Times New Roman"/>
          <w:sz w:val="28"/>
          <w:szCs w:val="24"/>
        </w:rPr>
        <w:t>-67 экспрессии в опухоли</w:t>
      </w:r>
    </w:p>
    <w:p w:rsidR="00654C6A" w:rsidRDefault="00654C6A" w:rsidP="00654C6A">
      <w:pPr>
        <w:spacing w:after="0" w:line="48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Table </w:t>
      </w:r>
      <w:r>
        <w:rPr>
          <w:rFonts w:ascii="Times New Roman" w:hAnsi="Times New Roman" w:cs="Times New Roman"/>
          <w:sz w:val="28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en-US"/>
        </w:rPr>
        <w:t>.</w:t>
      </w:r>
    </w:p>
    <w:p w:rsidR="00654C6A" w:rsidRDefault="00654C6A" w:rsidP="00654C6A">
      <w:pPr>
        <w:spacing w:after="0" w:line="48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Numbers (n) and prevalence (%) of low (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≤) </w:t>
      </w:r>
      <w:r>
        <w:rPr>
          <w:rFonts w:ascii="Times New Roman" w:hAnsi="Times New Roman" w:cs="Times New Roman"/>
          <w:sz w:val="28"/>
          <w:lang w:val="en-US"/>
        </w:rPr>
        <w:t xml:space="preserve">and high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(&gt;) levels of idiotypic and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antibodies, specific to estradiol (IgA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4"/>
          <w:lang w:val="en-US"/>
        </w:rPr>
        <w:t>-E2 and IgG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-E2), and their combinations in II–IV stages breast cancer patients depending on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val="en-US" w:eastAsia="ru-RU"/>
        </w:rPr>
        <w:t>hOGG1</w:t>
      </w:r>
      <w:r>
        <w:rPr>
          <w:rFonts w:ascii="Times New Roman" w:hAnsi="Times New Roman" w:cs="Times New Roman"/>
          <w:sz w:val="28"/>
          <w:szCs w:val="24"/>
          <w:lang w:val="en-US"/>
        </w:rPr>
        <w:t>-gene variants and Ki-67 expressing in tumor</w:t>
      </w:r>
    </w:p>
    <w:tbl>
      <w:tblPr>
        <w:tblStyle w:val="a7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1419"/>
        <w:gridCol w:w="1560"/>
        <w:gridCol w:w="1419"/>
        <w:gridCol w:w="1575"/>
        <w:gridCol w:w="1545"/>
      </w:tblGrid>
      <w:tr w:rsidR="00654C6A" w:rsidTr="00D900E5">
        <w:trPr>
          <w:trHeight w:val="416"/>
          <w:jc w:val="center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комбинации</w:t>
            </w:r>
          </w:p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Antibodies and their combinations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hOGG1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(rs1052133)</w:t>
            </w:r>
          </w:p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CC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hOGG1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(rs1052133)</w:t>
            </w:r>
          </w:p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CG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χ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df = 1</w:t>
            </w:r>
          </w:p>
        </w:tc>
      </w:tr>
      <w:tr w:rsidR="00654C6A" w:rsidTr="00D900E5">
        <w:trPr>
          <w:trHeight w:val="417"/>
          <w:jc w:val="center"/>
        </w:trPr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Ki-67≤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Ki-67&gt;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Ki-67≤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Ki-67&gt;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6A" w:rsidTr="00D900E5">
        <w:trPr>
          <w:trHeight w:val="283"/>
          <w:jc w:val="center"/>
        </w:trPr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 /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/ 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/ 54,4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/ 45,6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(0,73)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/ 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/ 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/ 37,7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/ 62,3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 (0,54)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/ 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/ 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/ 25,8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/ 64,2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(0,73)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/ 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/ 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/ 55,7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/ 44,3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(0,76)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2≤3</w:t>
            </w:r>
          </w:p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2≤3,5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/ 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/ 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/ 42,9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/ 57,1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 (0,84)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3.2. IgA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-E2&gt;3</w:t>
            </w:r>
          </w:p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+IgG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-E2≤3,5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9/28,1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23/71,9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(0,66)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3.3. IgA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-E2≤3</w:t>
            </w:r>
          </w:p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+ IgG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-E2&gt;3,5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49/54,4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22/66,7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11/33,3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(0,31)</w:t>
            </w:r>
          </w:p>
        </w:tc>
      </w:tr>
      <w:tr w:rsidR="00654C6A" w:rsidTr="00D900E5">
        <w:trPr>
          <w:trHeight w:val="491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3.4. IgA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-E2&gt;3</w:t>
            </w:r>
          </w:p>
          <w:p w:rsidR="00654C6A" w:rsidRDefault="00654C6A" w:rsidP="00654C6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+IgG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-E2&gt;3,5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17/45,9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20/54,1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C6A" w:rsidRDefault="00654C6A" w:rsidP="00654C6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 (0,94)</w:t>
            </w:r>
          </w:p>
        </w:tc>
      </w:tr>
    </w:tbl>
    <w:p w:rsidR="00654C6A" w:rsidRDefault="00654C6A" w:rsidP="00654C6A">
      <w:pPr>
        <w:spacing w:after="0" w:line="480" w:lineRule="auto"/>
      </w:pPr>
    </w:p>
    <w:p w:rsidR="00654C6A" w:rsidRDefault="00654C6A"/>
    <w:sectPr w:rsidR="00654C6A" w:rsidSect="008B7F03">
      <w:headerReference w:type="default" r:id="rId6"/>
      <w:footerReference w:type="default" r:id="rId7"/>
      <w:pgSz w:w="11906" w:h="16838"/>
      <w:pgMar w:top="289" w:right="850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12A" w:rsidRDefault="0074212A" w:rsidP="00654C6A">
      <w:pPr>
        <w:spacing w:after="0" w:line="240" w:lineRule="auto"/>
      </w:pPr>
      <w:r>
        <w:separator/>
      </w:r>
    </w:p>
  </w:endnote>
  <w:endnote w:type="continuationSeparator" w:id="0">
    <w:p w:rsidR="0074212A" w:rsidRDefault="0074212A" w:rsidP="0065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F7" w:rsidRDefault="0074212A">
    <w:pPr>
      <w:pStyle w:val="a5"/>
      <w:jc w:val="center"/>
    </w:pPr>
  </w:p>
  <w:p w:rsidR="001C43F7" w:rsidRDefault="00742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12A" w:rsidRDefault="0074212A" w:rsidP="00654C6A">
      <w:pPr>
        <w:spacing w:after="0" w:line="240" w:lineRule="auto"/>
      </w:pPr>
      <w:r>
        <w:separator/>
      </w:r>
    </w:p>
  </w:footnote>
  <w:footnote w:type="continuationSeparator" w:id="0">
    <w:p w:rsidR="0074212A" w:rsidRDefault="0074212A" w:rsidP="0065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59" w:rsidRDefault="0074212A">
    <w:pPr>
      <w:pStyle w:val="a3"/>
      <w:jc w:val="right"/>
    </w:pPr>
  </w:p>
  <w:p w:rsidR="00DB1359" w:rsidRDefault="007421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A"/>
    <w:rsid w:val="00654C6A"/>
    <w:rsid w:val="0074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6B5"/>
  <w15:chartTrackingRefBased/>
  <w15:docId w15:val="{D924C51C-2617-41D5-98CD-BCFC5AE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C6A"/>
  </w:style>
  <w:style w:type="paragraph" w:styleId="a5">
    <w:name w:val="footer"/>
    <w:basedOn w:val="a"/>
    <w:link w:val="a6"/>
    <w:uiPriority w:val="99"/>
    <w:unhideWhenUsed/>
    <w:rsid w:val="0065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C6A"/>
  </w:style>
  <w:style w:type="table" w:styleId="a7">
    <w:name w:val="Table Grid"/>
    <w:basedOn w:val="a1"/>
    <w:uiPriority w:val="39"/>
    <w:rsid w:val="0065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2023-10-20T04:55:00Z</dcterms:created>
  <dcterms:modified xsi:type="dcterms:W3CDTF">2023-10-20T04:56:00Z</dcterms:modified>
</cp:coreProperties>
</file>