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4429E" w14:textId="77777777" w:rsidR="00D73EF8" w:rsidRPr="00521F9D" w:rsidRDefault="00D73EF8" w:rsidP="00D73EF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21F9D">
        <w:rPr>
          <w:rFonts w:ascii="Times New Roman" w:hAnsi="Times New Roman" w:cs="Times New Roman"/>
          <w:sz w:val="28"/>
          <w:szCs w:val="28"/>
          <w:lang w:val="en-US"/>
        </w:rPr>
        <w:t>Table 5 – Characteristics of the association of predictors with the probability of response to measles vaccine in 1 year after vaccination.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93"/>
        <w:gridCol w:w="1865"/>
        <w:gridCol w:w="1858"/>
        <w:gridCol w:w="1871"/>
        <w:gridCol w:w="1858"/>
      </w:tblGrid>
      <w:tr w:rsidR="00D73EF8" w:rsidRPr="00521F9D" w14:paraId="5B9ABD67" w14:textId="77777777" w:rsidTr="002478BA">
        <w:trPr>
          <w:jc w:val="center"/>
        </w:trPr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5F24" w14:textId="77777777" w:rsidR="00D73EF8" w:rsidRPr="00521F9D" w:rsidRDefault="00D73EF8" w:rsidP="002478BA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eastAsiaTheme="minorHAnsi" w:hAnsi="Times New Roman" w:cs="Times New Roman"/>
                <w:sz w:val="28"/>
                <w:szCs w:val="28"/>
              </w:rPr>
              <w:t>Predictors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AEDAD" w14:textId="77777777" w:rsidR="00D73EF8" w:rsidRPr="00521F9D" w:rsidRDefault="00D73EF8" w:rsidP="002478BA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eastAsiaTheme="minorHAnsi" w:hAnsi="Times New Roman" w:cs="Times New Roman"/>
                <w:sz w:val="28"/>
                <w:szCs w:val="28"/>
              </w:rPr>
              <w:t>Unadjusted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DA98" w14:textId="77777777" w:rsidR="00D73EF8" w:rsidRPr="00521F9D" w:rsidRDefault="00D73EF8" w:rsidP="002478BA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eastAsiaTheme="minorHAnsi" w:hAnsi="Times New Roman" w:cs="Times New Roman"/>
                <w:sz w:val="28"/>
                <w:szCs w:val="28"/>
              </w:rPr>
              <w:t>Adjusted</w:t>
            </w:r>
          </w:p>
        </w:tc>
      </w:tr>
      <w:tr w:rsidR="00D73EF8" w:rsidRPr="00521F9D" w14:paraId="11CBE813" w14:textId="77777777" w:rsidTr="002478B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FD7F" w14:textId="77777777" w:rsidR="00D73EF8" w:rsidRPr="00521F9D" w:rsidRDefault="00D73EF8" w:rsidP="002478BA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CC40" w14:textId="77777777" w:rsidR="00D73EF8" w:rsidRPr="00521F9D" w:rsidRDefault="00D73EF8" w:rsidP="002478BA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eastAsiaTheme="minorHAnsi" w:hAnsi="Times New Roman" w:cs="Times New Roman"/>
                <w:sz w:val="28"/>
                <w:szCs w:val="28"/>
              </w:rPr>
              <w:t>COR; 95% CI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884C" w14:textId="77777777" w:rsidR="00D73EF8" w:rsidRPr="00521F9D" w:rsidRDefault="00D73EF8" w:rsidP="002478BA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eastAsiaTheme="minorHAnsi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2854F" w14:textId="77777777" w:rsidR="00D73EF8" w:rsidRPr="00521F9D" w:rsidRDefault="00D73EF8" w:rsidP="002478BA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eastAsiaTheme="minorHAnsi" w:hAnsi="Times New Roman" w:cs="Times New Roman"/>
                <w:sz w:val="28"/>
                <w:szCs w:val="28"/>
              </w:rPr>
              <w:t>AOR; 95% CI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D5EE" w14:textId="77777777" w:rsidR="00D73EF8" w:rsidRPr="00521F9D" w:rsidRDefault="00D73EF8" w:rsidP="002478BA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eastAsiaTheme="minorHAnsi" w:hAnsi="Times New Roman" w:cs="Times New Roman"/>
                <w:sz w:val="28"/>
                <w:szCs w:val="28"/>
              </w:rPr>
              <w:t>p</w:t>
            </w:r>
          </w:p>
        </w:tc>
      </w:tr>
      <w:tr w:rsidR="00D73EF8" w:rsidRPr="00521F9D" w14:paraId="5A0BC27B" w14:textId="77777777" w:rsidTr="002478BA">
        <w:trPr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E7DC" w14:textId="77777777" w:rsidR="00D73EF8" w:rsidRPr="00521F9D" w:rsidRDefault="00D73EF8" w:rsidP="002478BA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eastAsiaTheme="minorHAnsi" w:hAnsi="Times New Roman" w:cs="Times New Roman"/>
                <w:sz w:val="28"/>
                <w:szCs w:val="28"/>
              </w:rPr>
              <w:t>IFN-γ before V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BD49" w14:textId="77777777" w:rsidR="00D73EF8" w:rsidRPr="00521F9D" w:rsidRDefault="00D73EF8" w:rsidP="002478BA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eastAsiaTheme="minorHAnsi" w:hAnsi="Times New Roman" w:cs="Times New Roman"/>
                <w:sz w:val="28"/>
                <w:szCs w:val="28"/>
              </w:rPr>
              <w:t>0.561; 0.264 – 1.192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759C" w14:textId="77777777" w:rsidR="00D73EF8" w:rsidRPr="00521F9D" w:rsidRDefault="00D73EF8" w:rsidP="002478BA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eastAsiaTheme="minorHAnsi" w:hAnsi="Times New Roman" w:cs="Times New Roman"/>
                <w:sz w:val="28"/>
                <w:szCs w:val="28"/>
              </w:rPr>
              <w:t>0.133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B9E37" w14:textId="77777777" w:rsidR="00D73EF8" w:rsidRPr="00521F9D" w:rsidRDefault="00D73EF8" w:rsidP="002478BA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eastAsiaTheme="minorHAnsi" w:hAnsi="Times New Roman" w:cs="Times New Roman"/>
                <w:sz w:val="28"/>
                <w:szCs w:val="28"/>
              </w:rPr>
              <w:t>0.440; 0.196 – 0.988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74D3" w14:textId="77777777" w:rsidR="00D73EF8" w:rsidRPr="00521F9D" w:rsidRDefault="00D73EF8" w:rsidP="002478BA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eastAsiaTheme="minorHAnsi" w:hAnsi="Times New Roman" w:cs="Times New Roman"/>
                <w:sz w:val="28"/>
                <w:szCs w:val="28"/>
              </w:rPr>
              <w:t>0.047*</w:t>
            </w:r>
          </w:p>
        </w:tc>
      </w:tr>
      <w:tr w:rsidR="00D73EF8" w:rsidRPr="00521F9D" w14:paraId="6E76C4AC" w14:textId="77777777" w:rsidTr="002478BA">
        <w:trPr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BE08" w14:textId="77777777" w:rsidR="00D73EF8" w:rsidRPr="00521F9D" w:rsidRDefault="00D73EF8" w:rsidP="002478BA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eastAsiaTheme="minorHAnsi" w:hAnsi="Times New Roman" w:cs="Times New Roman"/>
                <w:sz w:val="28"/>
                <w:szCs w:val="28"/>
              </w:rPr>
              <w:t>Measles IgG after V1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E81D" w14:textId="77777777" w:rsidR="00D73EF8" w:rsidRPr="00521F9D" w:rsidRDefault="00D73EF8" w:rsidP="002478BA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eastAsiaTheme="minorHAnsi" w:hAnsi="Times New Roman" w:cs="Times New Roman"/>
                <w:sz w:val="28"/>
                <w:szCs w:val="28"/>
              </w:rPr>
              <w:t>7.306; 1.493 – 35.766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364A4" w14:textId="77777777" w:rsidR="00D73EF8" w:rsidRPr="00521F9D" w:rsidRDefault="00D73EF8" w:rsidP="002478BA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eastAsiaTheme="minorHAnsi" w:hAnsi="Times New Roman" w:cs="Times New Roman"/>
                <w:sz w:val="28"/>
                <w:szCs w:val="28"/>
              </w:rPr>
              <w:t>0.014*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EC0E" w14:textId="77777777" w:rsidR="00D73EF8" w:rsidRPr="00521F9D" w:rsidRDefault="00D73EF8" w:rsidP="002478BA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eastAsiaTheme="minorHAnsi" w:hAnsi="Times New Roman" w:cs="Times New Roman"/>
                <w:sz w:val="28"/>
                <w:szCs w:val="28"/>
              </w:rPr>
              <w:t>12.107; 1.709 – 85.798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8DF6" w14:textId="77777777" w:rsidR="00D73EF8" w:rsidRPr="00521F9D" w:rsidRDefault="00D73EF8" w:rsidP="002478BA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eastAsiaTheme="minorHAnsi" w:hAnsi="Times New Roman" w:cs="Times New Roman"/>
                <w:sz w:val="28"/>
                <w:szCs w:val="28"/>
              </w:rPr>
              <w:t>0.013*</w:t>
            </w:r>
          </w:p>
        </w:tc>
      </w:tr>
    </w:tbl>
    <w:p w14:paraId="5D63DE10" w14:textId="77777777" w:rsidR="00D73EF8" w:rsidRPr="00521F9D" w:rsidRDefault="00D73EF8" w:rsidP="00D73EF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21F9D">
        <w:rPr>
          <w:rFonts w:ascii="Times New Roman" w:hAnsi="Times New Roman" w:cs="Times New Roman"/>
          <w:sz w:val="28"/>
          <w:szCs w:val="28"/>
          <w:lang w:val="en-US"/>
        </w:rPr>
        <w:t>* – association of the outcome value with the predictor value is statistically significant (p&lt;0.05)</w:t>
      </w:r>
    </w:p>
    <w:p w14:paraId="0C7401E0" w14:textId="77777777" w:rsidR="00BC160B" w:rsidRPr="00D73EF8" w:rsidRDefault="00BC160B">
      <w:pPr>
        <w:rPr>
          <w:lang w:val="en-US"/>
        </w:rPr>
      </w:pPr>
    </w:p>
    <w:sectPr w:rsidR="00BC160B" w:rsidRPr="00D73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BB"/>
    <w:rsid w:val="000407F8"/>
    <w:rsid w:val="007702BB"/>
    <w:rsid w:val="00BC160B"/>
    <w:rsid w:val="00D7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B4483-EB22-43B4-A686-FC72B612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EF8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Kozlova Svetlana (S-PEF)</dc:creator>
  <cp:keywords/>
  <dc:description/>
  <cp:lastModifiedBy>Kozlova Svetlana (S-PEF)</cp:lastModifiedBy>
  <cp:revision>2</cp:revision>
  <dcterms:created xsi:type="dcterms:W3CDTF">2022-07-09T04:33:00Z</dcterms:created>
  <dcterms:modified xsi:type="dcterms:W3CDTF">2022-07-09T04:33:00Z</dcterms:modified>
</cp:coreProperties>
</file>