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3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705"/>
        <w:gridCol w:w="2995"/>
        <w:gridCol w:w="3267"/>
      </w:tblGrid>
      <w:tr w:rsidR="00CC7E5F" w:rsidRPr="00243D0C" w:rsidTr="00CC7E5F">
        <w:tc>
          <w:tcPr>
            <w:tcW w:w="5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Арсентьева Н.А.,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А.А. Методические сложности при определении содержания некоторых цитокинов в периферической крови практически здоровых лиц // Медицинская иммунология. – 2018. – Т. 20, №5. – С. 763-774. </w:t>
            </w:r>
          </w:p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</w:tcPr>
          <w:p w:rsidR="00CC7E5F" w:rsidRPr="00243D0C" w:rsidRDefault="00CC7E5F" w:rsidP="009F2C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Arsentieva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Totolian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 Methodological issues of determining concentrations of some cytokines in peripheral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mblood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from healthy individuals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Medical Immunology (Russia</w:t>
            </w:r>
            <w:r w:rsidR="00684068"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/ </w:t>
            </w:r>
            <w:proofErr w:type="spellStart"/>
            <w:r w:rsidR="00684068"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>Meditsinskaya</w:t>
            </w:r>
            <w:proofErr w:type="spellEnd"/>
            <w:r w:rsidR="00684068"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 </w:t>
            </w:r>
            <w:proofErr w:type="spellStart"/>
            <w:r w:rsidR="00684068"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>Immunologiya</w:t>
            </w:r>
            <w:proofErr w:type="spellEnd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), 2018, Vol. 20, no. 5, pp. 763-774.</w:t>
            </w:r>
          </w:p>
        </w:tc>
        <w:tc>
          <w:tcPr>
            <w:tcW w:w="3267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10.15789/1563-0625-2018-5-763-774</w:t>
            </w:r>
          </w:p>
        </w:tc>
      </w:tr>
      <w:tr w:rsidR="00684068" w:rsidRPr="00243D0C" w:rsidTr="00CC7E5F">
        <w:tc>
          <w:tcPr>
            <w:tcW w:w="567" w:type="dxa"/>
          </w:tcPr>
          <w:p w:rsidR="00684068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684068" w:rsidRPr="00243D0C" w:rsidRDefault="00684068" w:rsidP="00684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</w:rPr>
              <w:t xml:space="preserve">Арсентьева Н.А., Семенов А.В., Жебрун Д.А., Васильева Е.В.,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</w:rPr>
              <w:t>Тотолян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</w:rPr>
              <w:t>Арег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</w:rPr>
              <w:t xml:space="preserve"> А. Роль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</w:rPr>
              <w:t>хемокинового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</w:rPr>
              <w:t xml:space="preserve"> рецептора CXCR3 и его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</w:rPr>
              <w:t>лигандов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</w:rPr>
              <w:t xml:space="preserve"> при некоторых иммунопатологических состояниях // Медицинская иммунология. – 2019. – Т. 21, № 4. С. – 617-632. </w:t>
            </w:r>
          </w:p>
        </w:tc>
        <w:tc>
          <w:tcPr>
            <w:tcW w:w="2995" w:type="dxa"/>
          </w:tcPr>
          <w:p w:rsidR="00684068" w:rsidRPr="00243D0C" w:rsidRDefault="00684068" w:rsidP="006840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>Arsentieva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N.A., Semenov A.V.,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>Zhebrun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D.A.,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>Vasilyeva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E.V.,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>Totolyan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>Areg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A. Role of CXCR3 chemokine receptor and its ligands in certain diseases.</w:t>
            </w:r>
            <w:r w:rsidRPr="00243D0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Medical Immunology (Russia)/ </w:t>
            </w:r>
            <w:proofErr w:type="spellStart"/>
            <w:r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>Meditsinskaya</w:t>
            </w:r>
            <w:proofErr w:type="spellEnd"/>
            <w:r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 </w:t>
            </w:r>
            <w:proofErr w:type="spellStart"/>
            <w:r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>Immunologiya</w:t>
            </w:r>
            <w:proofErr w:type="spellEnd"/>
            <w:r w:rsidRPr="00243D0C">
              <w:rPr>
                <w:rFonts w:ascii="Times New Roman" w:hAnsi="Times New Roman" w:cs="Times New Roman"/>
                <w:i/>
                <w:sz w:val="28"/>
                <w:lang w:val="en-US"/>
              </w:rPr>
              <w:t>, 2019, Vol. 21, no. 4, pp. 617-632</w:t>
            </w:r>
            <w:r w:rsidRPr="00243D0C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</w:p>
        </w:tc>
        <w:tc>
          <w:tcPr>
            <w:tcW w:w="3267" w:type="dxa"/>
          </w:tcPr>
          <w:p w:rsidR="00684068" w:rsidRPr="00243D0C" w:rsidRDefault="00684068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</w:t>
            </w:r>
            <w:r w:rsidRPr="00243D0C">
              <w:rPr>
                <w:rFonts w:ascii="Times New Roman" w:hAnsi="Times New Roman" w:cs="Times New Roman"/>
                <w:sz w:val="28"/>
                <w:lang w:val="en-US"/>
              </w:rPr>
              <w:t>10.15789/1563-0625-2019-4-617-632</w:t>
            </w:r>
          </w:p>
        </w:tc>
      </w:tr>
      <w:tr w:rsidR="00CC7E5F" w:rsidRPr="00243D0C" w:rsidTr="00CC7E5F">
        <w:tc>
          <w:tcPr>
            <w:tcW w:w="567" w:type="dxa"/>
          </w:tcPr>
          <w:p w:rsidR="00843596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05" w:type="dxa"/>
          </w:tcPr>
          <w:p w:rsidR="00CC7E5F" w:rsidRPr="00243D0C" w:rsidRDefault="00CC7E5F" w:rsidP="009F2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Буаро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М. И., Симонова Е. Г., Покровский В. И.  Комплексная оценка эпидемической ситуации в Гвинейской Республике // Эпидемиология и Вакцинопрофилактика. – 2019. – Т. 18, №5. – С. 56-62.</w:t>
            </w:r>
          </w:p>
        </w:tc>
        <w:tc>
          <w:tcPr>
            <w:tcW w:w="299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Buaro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M.I.,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Simonova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E.G.,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Pokrovsky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V.I. Comprehensive Assessment of the Epidemic Situation in the Republic of Guinea.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Epidemiology and </w:t>
            </w:r>
            <w:proofErr w:type="spellStart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Vaccinal</w:t>
            </w:r>
            <w:proofErr w:type="spellEnd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Prevention (Russia), 2019, Vol. 18, no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5, pp. 56-62.</w:t>
            </w:r>
          </w:p>
        </w:tc>
        <w:tc>
          <w:tcPr>
            <w:tcW w:w="3267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DOI: 10.31631/2073-3046-2019-18-5-56-62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</w:tcPr>
          <w:p w:rsidR="00CC7E5F" w:rsidRPr="00243D0C" w:rsidRDefault="00CC7E5F" w:rsidP="0024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Долгов В.В., Меньшиков В.В. Клиническая лабораторная диагностика: Национальное руководство в 2 т. Т. II. – М.: ГЭОТАР-Медиа, 2013. – 814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Dolgov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Menshikov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V.V. Clinical laboratory diagnostics: National leadership in 2 Vol. Vol. II.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Moscow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GEOTAR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Media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2013,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814 p.</w:t>
            </w: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05" w:type="dxa"/>
          </w:tcPr>
          <w:p w:rsidR="00CC7E5F" w:rsidRPr="00243D0C" w:rsidRDefault="00CC7E5F" w:rsidP="001D0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О.В., Личная Е.В.,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Буаро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М.И.,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А.А. Встречаемость маркеров вируса гепатита 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 здоровых жителей гвинейской республики: пилотное исследование // Инфекция и иммунитет. – 2017. – Т. 7, №3. – С. 245-250.</w:t>
            </w:r>
          </w:p>
        </w:tc>
        <w:tc>
          <w:tcPr>
            <w:tcW w:w="2995" w:type="dxa"/>
          </w:tcPr>
          <w:p w:rsidR="00CC7E5F" w:rsidRPr="00243D0C" w:rsidRDefault="00CC7E5F" w:rsidP="001D04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Kalinina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Lichnaia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Boiro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M.Y.,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Totolian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 The occurrence of the markers of hepatitis C among practically healthy residents of the republic of guinea: a pilot study.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Russian Journal of Infection and Immunity, 2017, Vol. 7, no. 3, pp. 245-250.</w:t>
            </w:r>
          </w:p>
        </w:tc>
        <w:tc>
          <w:tcPr>
            <w:tcW w:w="3267" w:type="dxa"/>
          </w:tcPr>
          <w:p w:rsidR="00CC7E5F" w:rsidRPr="00243D0C" w:rsidRDefault="007A7EC9" w:rsidP="001C46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DOI: 10.15789/2220-7619-2017-3-245-250</w:t>
              </w:r>
            </w:hyperlink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5" w:type="dxa"/>
          </w:tcPr>
          <w:p w:rsidR="00CC7E5F" w:rsidRPr="00243D0C" w:rsidRDefault="00CC7E5F" w:rsidP="0003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Кляритская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И. Л.,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Стилиди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Е. И. Роль различных цитокинов в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фиброгенезе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печени при хронических вирусных гепатитах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// Крымский терапевтических журнал. – 2010. – Т. 14, № 1. – С. 41-45.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Klyaritskaya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I.L.,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Stilidi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E.I. The role of various cytokines in the liver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fibrogenesis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 chronic viral hepatitis B and C.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Crimean Journal of Internal Diseases, 2010, Vol. 14, no. 1, pp. 41-45.</w:t>
            </w:r>
          </w:p>
        </w:tc>
        <w:tc>
          <w:tcPr>
            <w:tcW w:w="3267" w:type="dxa"/>
          </w:tcPr>
          <w:p w:rsidR="00CC7E5F" w:rsidRPr="00243D0C" w:rsidRDefault="00243D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https://www.elibrary.ru/download/elibrary_21104319_58743264.pdf</w:t>
              </w:r>
            </w:hyperlink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УДК: 116.36-004+616.36-002.2:577.175.14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5" w:type="dxa"/>
          </w:tcPr>
          <w:p w:rsidR="00CC7E5F" w:rsidRPr="00243D0C" w:rsidRDefault="00CC7E5F" w:rsidP="00036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И.В., Борисов А.Г.,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Кробинец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И.И., Савченко А.А., Серебрякова М.К. Определение основных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субпопуляций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цитотоксических Т-лимфоцитов методом многоцветной проточной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цитометрии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// Медицинская иммунология. – 2015. – Т. 17, № 6. – С. 525-538.</w:t>
            </w:r>
          </w:p>
        </w:tc>
        <w:tc>
          <w:tcPr>
            <w:tcW w:w="299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Kudryavtsev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Borisov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A.G.,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Krobinets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I.I.,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Savchenko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Serebryakova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M.K. Multicolor flow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cytometric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analysis of cytotoxic T cell subsets.</w:t>
            </w:r>
            <w:r w:rsidRPr="00243D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Medical immunology (Russia), 2015, Vol. 17, no. 6, pp. 525-538.</w:t>
            </w:r>
          </w:p>
        </w:tc>
        <w:tc>
          <w:tcPr>
            <w:tcW w:w="3267" w:type="dxa"/>
          </w:tcPr>
          <w:p w:rsidR="00CC7E5F" w:rsidRPr="00243D0C" w:rsidRDefault="007A7EC9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DOI: 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10.15789/</w:t>
              </w:r>
            </w:hyperlink>
            <w:r w:rsidR="00D00F48">
              <w:rPr>
                <w:rFonts w:ascii="Times New Roman" w:hAnsi="Times New Roman" w:cs="Times New Roman"/>
                <w:sz w:val="28"/>
                <w:szCs w:val="28"/>
              </w:rPr>
              <w:t xml:space="preserve"> 1563-0625-2015-6-525-538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5" w:type="dxa"/>
          </w:tcPr>
          <w:p w:rsidR="00CC7E5F" w:rsidRPr="00243D0C" w:rsidRDefault="00CC7E5F" w:rsidP="004A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И.В., Борисов А.Г.,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Кробинец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И.И., Савченко А.А., Серебрякова М.К.,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Хемокиновые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рецепторы на Т-хелперах различного уровня дифференцировки: основные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субпопуляции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// Медицинская иммунология. – 2016. – Т. 18, № 3. – С. 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239-250.</w:t>
            </w:r>
          </w:p>
        </w:tc>
        <w:tc>
          <w:tcPr>
            <w:tcW w:w="299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lastRenderedPageBreak/>
              <w:t>Kudryavtsev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Borisov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A.G.,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Krobinets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I.I.,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Savchenko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Serebriakova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M.K.,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Totolian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A.A. Chemokine receptors at distinct differentiation stages of t-helpers from </w:t>
            </w:r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lastRenderedPageBreak/>
              <w:t xml:space="preserve">peripheral blood. </w:t>
            </w:r>
            <w:r w:rsidRPr="00243D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Medical immunology (Russia), 2016, Vol. 18, no. 3, pp. 239-250.</w:t>
            </w:r>
          </w:p>
        </w:tc>
        <w:tc>
          <w:tcPr>
            <w:tcW w:w="3267" w:type="dxa"/>
          </w:tcPr>
          <w:p w:rsidR="00CC7E5F" w:rsidRPr="00243D0C" w:rsidRDefault="007A7EC9" w:rsidP="001C46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DOI: 10.15789/1563-0625-2016-3-239-250</w:t>
              </w:r>
            </w:hyperlink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A9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705" w:type="dxa"/>
          </w:tcPr>
          <w:p w:rsidR="00CC7E5F" w:rsidRPr="00243D0C" w:rsidRDefault="00CC7E5F" w:rsidP="00D74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Останкова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Ю.В., Семенов А.В., Эсауленко Е.В.,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Понятишина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М.В.,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Хамитова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И.В., Сафронов В.А.,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Крицкий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Бумбали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С., Барри М.С.,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Буаро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М.Й.,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Арег.А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. Распространенность маркеров вируса гепатита B среди пациентов Российско-Гвинейского госпиталя г.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Киндия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Гвинейской Республики. Актуальные инфекции в Гвинейской Республике: эпидемиология, диагностика и иммунитет; под ред. А.Ю. Поповой. – СПб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ФБУН НИИЭМ имени Пастера, 2017. – С. 256–263.</w:t>
            </w:r>
          </w:p>
        </w:tc>
        <w:tc>
          <w:tcPr>
            <w:tcW w:w="2995" w:type="dxa"/>
          </w:tcPr>
          <w:p w:rsidR="00CC7E5F" w:rsidRPr="00243D0C" w:rsidRDefault="00CC7E5F" w:rsidP="00D37EB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Ostankova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Y.V., Semenov A.V.,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Esaulenko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Ponyatishina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Hamitova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Safronov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Kritskiy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Bumbali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S., Barry M.S.,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Boiro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M.Y.,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Totolian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Areg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 Prevalence of hepatitis B virus markers among patients of the Russian-Guinean hospital in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Kindia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Republic of Guinea. Current infections in the Republic of Guinea: epidemiology, diagnostics and immunity. </w:t>
            </w:r>
            <w:proofErr w:type="spellStart"/>
            <w:proofErr w:type="gram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  <w:proofErr w:type="spellEnd"/>
            <w:proofErr w:type="gram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A.U.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Popova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Saint-Petersburg: </w:t>
            </w:r>
            <w:proofErr w:type="spellStart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Institut</w:t>
            </w:r>
            <w:proofErr w:type="spellEnd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Pasteur in Saint-Petersburg for Research</w:t>
            </w:r>
          </w:p>
          <w:p w:rsidR="00CC7E5F" w:rsidRPr="00243D0C" w:rsidRDefault="00CC7E5F" w:rsidP="003E27E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gramStart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</w:t>
            </w:r>
            <w:proofErr w:type="gramEnd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Epidemiology and Microbiology, 2017, pp. 256-263.</w:t>
            </w:r>
          </w:p>
          <w:p w:rsidR="00CC7E5F" w:rsidRPr="00243D0C" w:rsidRDefault="00CC7E5F" w:rsidP="00D37E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243D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https://www.pasteurorg.ru/files/materials/news/Guinea_2017.pdf</w:t>
              </w:r>
            </w:hyperlink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5" w:type="dxa"/>
          </w:tcPr>
          <w:p w:rsidR="00CC7E5F" w:rsidRPr="00243D0C" w:rsidRDefault="00CC7E5F" w:rsidP="004A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Семенов А.В., Арсентьева Н.А., Любимова Н.Е., Тюленев С.В.,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Басина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В.В., Эсауленко Е.В.,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А.А. Роль цитокинов и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хемокинов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в лабораторной диагностике хронического вирусного гепатита С // Клиническая лабораторная диагностика. – 2015.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– Т. 60, № 8. – С. 45-51.</w:t>
            </w:r>
          </w:p>
        </w:tc>
        <w:tc>
          <w:tcPr>
            <w:tcW w:w="2995" w:type="dxa"/>
          </w:tcPr>
          <w:p w:rsidR="00CC7E5F" w:rsidRPr="00243D0C" w:rsidRDefault="00CC7E5F" w:rsidP="003E27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Semenov A.V.,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Arsentieva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Lubimova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N.E.,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Tulienev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Basina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Esaulenko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Totolyan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 The role of cytokines and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hemokines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 laboratory diagnostic of chronic viral hepatitis C.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Russian Clinical Laboratory Diagnostics Journal,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2015. </w:t>
            </w:r>
            <w:proofErr w:type="spellStart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</w:t>
            </w:r>
            <w:proofErr w:type="spellEnd"/>
            <w:r w:rsidRPr="00243D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60,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8, pp. 45-51.</w:t>
            </w:r>
          </w:p>
        </w:tc>
        <w:tc>
          <w:tcPr>
            <w:tcW w:w="3267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УДК: 616.36-002.2-022-078.33</w:t>
            </w:r>
          </w:p>
          <w:p w:rsidR="00CC7E5F" w:rsidRPr="00243D0C" w:rsidRDefault="007A7EC9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elibrary</w:t>
              </w:r>
              <w:proofErr w:type="spellEnd"/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item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asp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=24157097</w:t>
              </w:r>
            </w:hyperlink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CC7E5F" w:rsidRPr="00243D0C" w:rsidRDefault="00CC7E5F" w:rsidP="003E2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Смольникова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М.В., Коненков В.И. Клиническая иммуногенетика заболеваний человека // Медицинская иммунология. – 2001 – Т. 3, № 3. – С. 379-388.</w:t>
            </w:r>
          </w:p>
        </w:tc>
        <w:tc>
          <w:tcPr>
            <w:tcW w:w="299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Smolnikova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Konenkov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V.I. Clinical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Immunogenetics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of Human Disease.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3D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Medical immunology (Russia), 2001, Vol. 3, no. 3, pp. 379-388.</w:t>
            </w:r>
          </w:p>
        </w:tc>
        <w:tc>
          <w:tcPr>
            <w:tcW w:w="3267" w:type="dxa"/>
          </w:tcPr>
          <w:p w:rsidR="00CC7E5F" w:rsidRPr="00243D0C" w:rsidRDefault="00243D0C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https://www.elibrary.ru/download/elibrary_11608404_45728585.pdf</w:t>
              </w:r>
            </w:hyperlink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CC7E5F" w:rsidRPr="00243D0C" w:rsidRDefault="00CC7E5F" w:rsidP="004A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Суслов А.П., Коноплева М.В., Третьяков О.Ю. Фундаментальная иммунобиология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провоспалительных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цитокинов и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mif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// Медицинская иммунология. – 2006. – Т. 8, № 1. – С. 5-22.</w:t>
            </w:r>
          </w:p>
        </w:tc>
        <w:tc>
          <w:tcPr>
            <w:tcW w:w="299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Suslov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A. P.,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Konopleva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M. V.,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Tretyakov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O. U. Fundamental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Immunobiology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proinflammatory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cytokines and </w:t>
            </w:r>
            <w:proofErr w:type="spellStart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mif</w:t>
            </w:r>
            <w:proofErr w:type="spellEnd"/>
            <w:r w:rsidRPr="00243D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.</w:t>
            </w:r>
            <w:r w:rsidRPr="00243D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Medical immunology (Russia), 2006, Vol. 8, no. 1, pp. 5-22.</w:t>
            </w:r>
          </w:p>
        </w:tc>
        <w:tc>
          <w:tcPr>
            <w:tcW w:w="3267" w:type="dxa"/>
          </w:tcPr>
          <w:p w:rsidR="00CC7E5F" w:rsidRPr="00243D0C" w:rsidRDefault="007A7EC9" w:rsidP="004D4E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DOI: 10.15789/1563-0625-2006-1-5-22</w:t>
              </w:r>
            </w:hyperlink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</w:tcPr>
          <w:p w:rsidR="00CC7E5F" w:rsidRPr="00243D0C" w:rsidRDefault="00CC7E5F" w:rsidP="00850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Эсауленко Е.В., Семенов А.В., Сухорук А.А.,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Понятишина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М.В.,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Останкова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Хамитова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Арег.А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. Эпидемиология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энтеральных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гепатитов в странах Африканского континента. Актуальные инфекции в Гвинейской Республике: эпидемиология, диагностика и иммунитет / под ред. А.Ю. Поповой – СПб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ФБУН НИИЭМ имени Пастера, 2017. – С. 216–224. </w:t>
            </w:r>
          </w:p>
        </w:tc>
        <w:tc>
          <w:tcPr>
            <w:tcW w:w="2995" w:type="dxa"/>
          </w:tcPr>
          <w:p w:rsidR="00CC7E5F" w:rsidRPr="00243D0C" w:rsidRDefault="00CC7E5F" w:rsidP="0085057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Ostankova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Y.V., Semenov A.V.,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Esaulenko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Ponyatishina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Hamitova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Safronov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Kritskiy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Bumbali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S., Barry M.S.,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Boiro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M.Y.,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Totolian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Areg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 Epidemiology of enteral hepatitis in the countries of the African continent. Current infections in the Republic of Guinea: epidemiology, diagnostics and immunity. </w:t>
            </w:r>
            <w:proofErr w:type="spellStart"/>
            <w:proofErr w:type="gram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  <w:proofErr w:type="spellEnd"/>
            <w:proofErr w:type="gram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A.U. </w:t>
            </w:r>
            <w:proofErr w:type="spellStart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Popova</w:t>
            </w:r>
            <w:proofErr w:type="spellEnd"/>
            <w:r w:rsidRPr="00243D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Saint-Petersburg: </w:t>
            </w:r>
            <w:proofErr w:type="spellStart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Institut</w:t>
            </w:r>
            <w:proofErr w:type="spellEnd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Pasteur in Saint-Petersburg for Research</w:t>
            </w:r>
          </w:p>
          <w:p w:rsidR="00CC7E5F" w:rsidRPr="00243D0C" w:rsidRDefault="00CC7E5F" w:rsidP="0085057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gramStart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</w:t>
            </w:r>
            <w:proofErr w:type="gramEnd"/>
            <w:r w:rsidRPr="00243D0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Epidemiology and Microbiology, 2017, pp. 216-224.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243D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https://www.pasteurorg.ru/files/materials/news/Guinea_2017.pdf</w:t>
              </w:r>
            </w:hyperlink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ЮНЕЙДС. Информационный бюллетень - Глобальная статистика по ВИЧ.</w:t>
            </w:r>
          </w:p>
        </w:tc>
        <w:tc>
          <w:tcPr>
            <w:tcW w:w="299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UNAIDS. Global HIV &amp; AIDS statistics — 2019 fact sheet.</w:t>
            </w:r>
          </w:p>
        </w:tc>
        <w:tc>
          <w:tcPr>
            <w:tcW w:w="3267" w:type="dxa"/>
          </w:tcPr>
          <w:p w:rsidR="00CC7E5F" w:rsidRPr="00243D0C" w:rsidRDefault="00243D0C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CC7E5F" w:rsidRPr="00243D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https://www.unaids.org/ru/resources/fact-sheet</w:t>
              </w:r>
            </w:hyperlink>
          </w:p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(12.05.2020)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</w:tcPr>
          <w:p w:rsidR="00CC7E5F" w:rsidRPr="00243D0C" w:rsidRDefault="00CC7E5F" w:rsidP="00A03C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Abbas A.K.,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Trotta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Simeonov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Marson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Bluestone J.A. Revisiting IL-2: Biology and therapeutic prospects. Sci.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2018, Vol. 3, is. 25. 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10.1126/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sciimmunol.aat1482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5" w:type="dxa"/>
          </w:tcPr>
          <w:p w:rsidR="00CC7E5F" w:rsidRPr="00243D0C" w:rsidRDefault="00CC7E5F" w:rsidP="00A03C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Ahmadi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Hassanshahi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Khorramdelazad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Zainodini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Koochakzadeh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An Overlook to the Characteristics and Roles Played by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Eotaxin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Network in the Pathophysiology of Food Allergies: Allergic Asthma and Atopic Dermatitis. Inflammation, 2016, Vol. 39, no. 3, pp. 1253–1267. 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10.1007/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s10753-016-0303-9.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5" w:type="dxa"/>
          </w:tcPr>
          <w:p w:rsidR="00CC7E5F" w:rsidRPr="00243D0C" w:rsidRDefault="00CC7E5F" w:rsidP="00123E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Andrade B.B., Reis-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Filho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Souza-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Clarêncio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Camargo L.M.,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Barral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Barral-Netto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Severe Plasmodium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vivax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malaria exhibits marked inflammatory imbalance. Malar J., 2010, Vol. 9, no.1 p. 13.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10.1186/1475-2875-9-13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5" w:type="dxa"/>
          </w:tcPr>
          <w:p w:rsidR="00CC7E5F" w:rsidRPr="00243D0C" w:rsidRDefault="00CC7E5F" w:rsidP="00C902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Bazan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J.F., Bacon K.B.,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Hardiman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Wang W.,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Rossi D., Greaves D.R.,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Zlotnik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Schall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T.J. A new class of membrane-bound chemokine with a CX3C motif. Nature, Vol. 385, no. 6617, pp. 640-644.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9024663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10.1038/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385640a0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5" w:type="dxa"/>
          </w:tcPr>
          <w:p w:rsidR="00CC7E5F" w:rsidRPr="00243D0C" w:rsidRDefault="00CC7E5F" w:rsidP="00E021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Bernardini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Spinetti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Ribatti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Camarda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Morbidelli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Ziche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Santoni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Capogrossi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 Napolitano M. I-309 binds to and activates endothelial cell functions and acts as an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angiogenic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molecule in vivo.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Blood, 2000, Vol. 96, no. 13, pp. 4039-4045.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11110671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705" w:type="dxa"/>
          </w:tcPr>
          <w:p w:rsidR="00CC7E5F" w:rsidRPr="00243D0C" w:rsidRDefault="00CC7E5F" w:rsidP="004310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Bloom B.R.,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Bennet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 Mechanism of reaction in vitro associated with delayed-type hypersensitivity. Science, 1966, Vol. 153, no. 3731, pp. 80-82.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5938421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10.1126/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science.153.3731.80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CC7E5F" w:rsidRPr="00243D0C" w:rsidRDefault="00CC7E5F" w:rsidP="00A264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Bromley S.K., Thomas S.Y., Luster A.D. Chemokine receptor CCR7 guides T cell exit from peripheral tissues and entry into afferent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lymphatics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Nat.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2005, Vol. 6, no. 9, pp. 895–901. 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 w:rsidP="00A264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 16116469</w:t>
            </w:r>
          </w:p>
          <w:p w:rsidR="00CC7E5F" w:rsidRPr="00243D0C" w:rsidRDefault="00CC7E5F" w:rsidP="00A264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DOI:10.1038/ni1240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CC7E5F" w:rsidRPr="00243D0C" w:rsidRDefault="00CC7E5F" w:rsidP="00E021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Chaudhuri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Nielsen S.,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Elkjaer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M.L.,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Zbrzezna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Fang F., Pogo, A.O. Detection of Duffy antigen in the plasma membranes and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caveolae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vascular endothelial and epithelial cells of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nonerythroid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organs. Blood, 1997, Vol. 89, no. 2, pp. 701–712.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9002974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</w:tcPr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Conroy M.J.,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Lysaght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CX3CL1 Signaling in the Tumor Microenvironment. Adv. Exp. Med. Biol., 2020, Vol. 1231, pp.1-12.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32060841</w:t>
            </w:r>
          </w:p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10.1007/ 978-3-030-36667-4_1.</w:t>
            </w:r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</w:tcPr>
          <w:p w:rsidR="00CC7E5F" w:rsidRPr="00243D0C" w:rsidRDefault="00CC7E5F" w:rsidP="00A264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Esche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Stellato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Beck L.A.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key players in innate and adaptive immunity. J. Invest. </w:t>
            </w:r>
            <w:proofErr w:type="spellStart"/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Dermatol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2005, Vol. 125, no.4 , pp. 615-628.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16185259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10.1111/j.0022-202X.2005.23841.x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</w:tcPr>
          <w:p w:rsidR="00CC7E5F" w:rsidRPr="00243D0C" w:rsidRDefault="00CC7E5F" w:rsidP="00A264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Gardner L.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Patterson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M., Ashton B.A., Stone M.A., Middleton J. The human Duffy antigen binds selected inflammatory but not homeostatic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Biophys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Res.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2004, Vol. 32,1no. 2, pp. 306-312.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15358176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j.bbrc.2004.06.146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5" w:type="dxa"/>
          </w:tcPr>
          <w:p w:rsidR="00CC7E5F" w:rsidRPr="00243D0C" w:rsidRDefault="00CC7E5F" w:rsidP="00A264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Green S.R., Han K.H., Chen Y.,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Almazan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I.F., Miller Y.I.,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Quehenberger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The CC chemokine MCP-1 stimulates surface expression of CX3CR1 and enhances the adhesion of monocytes to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fractalkine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/CX3CL1 via p38 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MAPK .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2006, Vol. 176, no. 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12.,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pp. 7412–7420.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16751386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10.4049/jimmunol.176.12.7412</w:t>
            </w:r>
          </w:p>
          <w:p w:rsidR="00CC7E5F" w:rsidRPr="00243D0C" w:rsidRDefault="00CC7E5F" w:rsidP="00780B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7E5F" w:rsidRPr="00243D0C" w:rsidRDefault="00CC7E5F" w:rsidP="00780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W., Neil S.,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Kulkarni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Wright E.,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B.K., Marconi V.C., Dolan M.J., Weiss R.A.,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Ahuja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S.K.. Duffy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antigenreceptor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mediates trans-infection of HIV-1 from red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bloodcells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target cells and affects HIV-AIDS susceptibility. Cell Host Microbe, 2008, Vol. 4, no.1, pp. 52–62.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18621010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PMCID: PMC2562426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10.1016/j.chom.2008.06.002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5" w:type="dxa"/>
          </w:tcPr>
          <w:p w:rsidR="00CC7E5F" w:rsidRPr="00243D0C" w:rsidRDefault="00CC7E5F" w:rsidP="002F34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 I.C.,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Miaw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S.C. Regulation of IL-4 Expression in Immunity and Diseases. Adv. Exp. Med. Biol., 2016, Vol. 941, pp. 31-77.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27734408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10.1007/</w:t>
            </w: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978-94-024-0921-5_3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5" w:type="dxa"/>
          </w:tcPr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Julia V.,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Staumont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-Salle D.,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Dombrowicz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Role of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fractalkine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/CX3CL1 and its receptor CX3CR1 in allergic diseases. Med. Sci. (Paris), 2016, Vol. 32, no. 3, pp. 260-266.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10.1051/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medsci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20163203010.</w:t>
            </w:r>
          </w:p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27011244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5" w:type="dxa"/>
          </w:tcPr>
          <w:p w:rsidR="00CC7E5F" w:rsidRPr="00243D0C" w:rsidRDefault="00CC7E5F" w:rsidP="005538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Langhi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D.M. Jr.,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Bordin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J.O. Duffy blood group and malaria. Hematology, 2006, Vol. 11, no. 5, pp. 389–398.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10.1080/10245330500469841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CC7E5F" w:rsidRPr="00243D0C" w:rsidRDefault="00CC7E5F" w:rsidP="005538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Lechner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C.J.,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Komander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Hegewald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Huang X.,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Gantin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R.G.,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Soboslay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P.T.,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Agossou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Banla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Köhler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Cytokine and chemokine responses to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helminth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protozoan parasites and to fungus and mite allergens in neonates, children, adults, and the elderly.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Ageing., 2013, Vol. 10, no. 1, p. 29.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DOI:10.1186/1742-4933-10-29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CC7E5F" w:rsidRPr="00243D0C" w:rsidRDefault="00CC7E5F" w:rsidP="00E432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Lettow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Berres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M.-L., Schmitz P., Berg T., Neumann U. P.,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Trautwein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Wasmuth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H.E. A Duffy antigen receptor for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(DARC) polymorphism that determines pro-fibrotic chemokine serum concentrations is not directly associated with severity of hepatitis C infection. Hum. </w:t>
            </w:r>
            <w:proofErr w:type="spellStart"/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2011, Vol. 72, no. 3, pp. 273–277.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21156192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10.1016/j.humimm.2010.12.002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</w:tcPr>
          <w:p w:rsidR="00CC7E5F" w:rsidRPr="00243D0C" w:rsidRDefault="00CC7E5F" w:rsidP="005538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Levin M.E., Le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Souëf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P.N.,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Motala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Total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urban Black South African teenagers: the influence of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atopy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helminth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infection.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Pediatr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Allergy </w:t>
            </w:r>
            <w:proofErr w:type="spellStart"/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2008, Vol. 19, no. 5, pp. 449-454.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21156192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10.1016/j.humimm.2010.12.002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Lang 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Binda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Panina-Bordignon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D’Ambrosio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Dominance of CCL22 over CCL17 in induction of chemokine receptor CCR4 desensitization and internalization on human Th2 cells. Eur. J.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2004, Vol. 34, no. 1, pp. 231–240.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14971049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10.1002/eji.200324429</w:t>
            </w:r>
          </w:p>
        </w:tc>
      </w:tr>
      <w:tr w:rsidR="003A5951" w:rsidRPr="00243D0C" w:rsidTr="00CC7E5F">
        <w:tc>
          <w:tcPr>
            <w:tcW w:w="567" w:type="dxa"/>
          </w:tcPr>
          <w:p w:rsidR="003A5951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05" w:type="dxa"/>
          </w:tcPr>
          <w:p w:rsidR="003A5951" w:rsidRPr="00243D0C" w:rsidRDefault="003A5951" w:rsidP="003A59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F.B., Spiel A.O.,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Leitner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Firbas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Kliegel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Jilma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 Ethnic differences in plasma levels of interleukin-8 (IL-8) and granulocyte colony stimulating factor (G-CSF).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Res. 2007, Vol. 149, no. 1, pp.10-14. </w:t>
            </w:r>
          </w:p>
        </w:tc>
        <w:tc>
          <w:tcPr>
            <w:tcW w:w="2995" w:type="dxa"/>
          </w:tcPr>
          <w:p w:rsidR="003A5951" w:rsidRPr="00243D0C" w:rsidRDefault="003A59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3A5951" w:rsidRPr="00243D0C" w:rsidRDefault="003A59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10.1016/j.trsl.2006.06.003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5" w:type="dxa"/>
          </w:tcPr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Nanki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Imai T., Kawai S.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Fractalkine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/CX3CL1 in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rheumatoid arthritis. Mod. </w:t>
            </w:r>
            <w:proofErr w:type="spellStart"/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2017, Vol. 27, no. 3, pp. 392-397.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27484962</w:t>
            </w:r>
          </w:p>
          <w:p w:rsidR="00CC7E5F" w:rsidRPr="00243D0C" w:rsidRDefault="00CC7E5F" w:rsidP="00A27B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10.1080/14397595.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2016.1213481.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5" w:type="dxa"/>
          </w:tcPr>
          <w:p w:rsidR="00CC7E5F" w:rsidRPr="00243D0C" w:rsidRDefault="00CC7E5F" w:rsidP="00206D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Y.H.,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Shetty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Adams D.H. The role of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recruitment of lymphocytes to the liver. Dig. Dis. 2010, Vol. 28, no. 1, pp. 31-44.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20460888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PMCID: PMC2883834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10.1159/000282062</w:t>
            </w:r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Patel V.P.,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Kreider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B.L., Li Y., Li H., Leung K.,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Salcedo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Nardelli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Pippalla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Gentz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Thotakura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Parmelee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Gentz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Garotta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Molecular and functional characterization of two novel human C-C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 inhibitors of two distinct classes of myeloid progenitors. J. Exp. Med., 1997, Vol. 185, no. 7, pp. 1163-1172.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9104803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PMCID: PMC2196270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10.1084/jem.185.7.1163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Rankin S.M., Conroy D.M., Williams T.J.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Eotaxin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eosinophil recruitment: implications for human disease. Mol. Med. Today, 2000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Vol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6, no. 1,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20-27.</w:t>
            </w:r>
          </w:p>
        </w:tc>
        <w:tc>
          <w:tcPr>
            <w:tcW w:w="2995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10637571 </w:t>
            </w:r>
          </w:p>
          <w:p w:rsidR="00CC7E5F" w:rsidRPr="00243D0C" w:rsidRDefault="00CC7E5F" w:rsidP="00AC5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10.1016/s1357-4310(99)01635-4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05" w:type="dxa"/>
          </w:tcPr>
          <w:p w:rsidR="00CC7E5F" w:rsidRPr="00243D0C" w:rsidRDefault="00CC7E5F" w:rsidP="00206D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Reif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Ekland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E.H.,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Nakano H.,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Lipp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Förster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Cyster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J.G. Balanced responsiveness to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chemoattractants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from adjacent zones determines B-cell position. Nature, 2002, Vol. 416, no. 6876, pp. 94–99.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11882900 DOI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:10.1038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/416094a.  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05" w:type="dxa"/>
          </w:tcPr>
          <w:p w:rsidR="00CC7E5F" w:rsidRPr="00243D0C" w:rsidRDefault="00CC7E5F" w:rsidP="008D21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Robbiani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D.F., Finch R.A.,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Jäger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Muller W.A.,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Sartorelli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A.C., Randolph G.J. The leukotriene 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C(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transporter MRP1 regulates CCL19 (MIP-3beta, ELC)-dependent mobilization of dendritic cells to lymph nodes. Cell, 2000, Vol. 103, no. 5, pp. 757–68.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gram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:10.1016</w:t>
            </w:r>
            <w:proofErr w:type="gram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S0092-8674(00)00179-3.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Rot A. Contribution of Duffy antigen to chemokine function. Cytokine Growth Factor Rev., 2005, Vol. 16, no. 6, pp. 687–94.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16054417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10.1016/j.cytogfr.2005.05.011</w:t>
            </w:r>
          </w:p>
        </w:tc>
      </w:tr>
      <w:tr w:rsidR="003A5951" w:rsidRPr="00243D0C" w:rsidTr="00CC7E5F">
        <w:tc>
          <w:tcPr>
            <w:tcW w:w="567" w:type="dxa"/>
          </w:tcPr>
          <w:p w:rsidR="003A5951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05" w:type="dxa"/>
          </w:tcPr>
          <w:p w:rsidR="003A5951" w:rsidRPr="00243D0C" w:rsidRDefault="003A5951" w:rsidP="00E06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Shalekoff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Schramm D.B.,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Lassaunière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Picton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A.C.,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Tiemessen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C.T. Differences are evident within the CXCR4-CXCL12 axis between ethnically divergent South African populations.. Cytokine. 2013</w:t>
            </w:r>
            <w:r w:rsidR="00E064A2"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064A2"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E064A2"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064A2"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792-800. </w:t>
            </w:r>
          </w:p>
        </w:tc>
        <w:tc>
          <w:tcPr>
            <w:tcW w:w="2995" w:type="dxa"/>
          </w:tcPr>
          <w:p w:rsidR="003A5951" w:rsidRPr="00243D0C" w:rsidRDefault="003A59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3A5951" w:rsidRPr="00243D0C" w:rsidRDefault="003A59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10.1016/j.cyto.2013.01.003.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</w:tcPr>
          <w:p w:rsidR="00CC7E5F" w:rsidRPr="00243D0C" w:rsidRDefault="00CC7E5F" w:rsidP="00B271CC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Soliman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H.H., Nagy H.,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Kotb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El-Din M.A. The role of chemokine CC ligand 20 in patients with liver cirrhosis and hepatocellular carcinoma. Int. J. Biol. Markers, 2012, Vol. 27, no. 2, pp. 125-131.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22388957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10.5301/JBM.2012.9097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</w:tcPr>
          <w:p w:rsidR="00CC7E5F" w:rsidRPr="00243D0C" w:rsidRDefault="00CC7E5F" w:rsidP="00C4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Van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Damme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Mantovani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From cytokines to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Cytokine Growth Factor Rev. 2005, Vol. 16, no. 7, pp. 549-551.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16027028 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10.1016/j.cytogfr.2005.02.012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Van Snick J.,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Houssiau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Proost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Van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Damme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Renauld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J.C. I-309/T cell activation gene-3 chemokine protects murine T cell lymphomas against dexamethasone-induced apoptosis. J.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1996, Vol. 157, no. 6, pp. 2570-2576.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8805659</w:t>
            </w:r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Willimann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Legler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D.F.,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Loetscher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R.S., Delgado M.B., Clark-Lewis I.,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Baggiolini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Moser B. The chemokine SLC is expressed in T cell areas of lymph nodes and mucosal lymphoid tissues and attracts activated T cells via CCR7. Eur. J.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1998, Vol. 28, no. 6, pp. 2025-2034.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9645384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10.1002/(SICI)1521-4141(199806)28:06&lt;2025::AID-IMMU2025&gt;3.0.CO;2-C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Yazdanbakhsh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Rios 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Storry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J.R.,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Kosower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Parasol N.,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Chaudhuri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Reid M.E. Molecular mechanisms that lead to reduced expression of Duffy antigens. Transfusion, 2000, Vol. 40, no. 3, pp. 310-320.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10738032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10.1046/j.1537-2995.2000.40030310.x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CC7E5F" w:rsidP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43596" w:rsidRPr="00243D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Zeremski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Dimova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Brown Q., Jacobson I.M.,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Markatou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Talal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A.H. Peripheral CXCR3-associated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 biomarkers of fibrosis in chronic hepatitis C virus infection. J. Infect. Dis., 2009, Vol. 200, no. 11, pp. 1774-1780.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19848607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10.1086/646614</w:t>
            </w:r>
          </w:p>
        </w:tc>
      </w:tr>
      <w:tr w:rsidR="00CC7E5F" w:rsidRPr="00243D0C" w:rsidTr="00CC7E5F">
        <w:tc>
          <w:tcPr>
            <w:tcW w:w="567" w:type="dxa"/>
          </w:tcPr>
          <w:p w:rsidR="00CC7E5F" w:rsidRPr="00243D0C" w:rsidRDefault="00843596" w:rsidP="00AC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05" w:type="dxa"/>
          </w:tcPr>
          <w:p w:rsidR="00CC7E5F" w:rsidRPr="00243D0C" w:rsidRDefault="00CC7E5F" w:rsidP="00625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Wasmuth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H.E.,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Lammert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Genetic risk factors for hepatic fibrosis in chronic liver diseases. Med.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Klin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(Munich), 2003, Vol. 98, no. 12, pp. 754-762. 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14685677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10.1007/ s00063-003-1324-3</w:t>
            </w:r>
          </w:p>
        </w:tc>
      </w:tr>
      <w:tr w:rsidR="00CC7E5F" w:rsidRPr="00D00F48" w:rsidTr="00CC7E5F">
        <w:tc>
          <w:tcPr>
            <w:tcW w:w="567" w:type="dxa"/>
          </w:tcPr>
          <w:p w:rsidR="00CC7E5F" w:rsidRPr="00243D0C" w:rsidRDefault="0084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0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Zlotnik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Yoshie</w:t>
            </w:r>
            <w:proofErr w:type="spellEnd"/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The chemokine superfamily revised. Immunity, 2012, Vol. 36, no. 5, pp. 705-716.</w:t>
            </w:r>
          </w:p>
        </w:tc>
        <w:tc>
          <w:tcPr>
            <w:tcW w:w="2995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7" w:type="dxa"/>
          </w:tcPr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22633458</w:t>
            </w:r>
          </w:p>
          <w:p w:rsidR="00CC7E5F" w:rsidRPr="00243D0C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PMCID: PMC3396424</w:t>
            </w:r>
          </w:p>
          <w:p w:rsidR="00CC7E5F" w:rsidRPr="00CC7E5F" w:rsidRDefault="00CC7E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10.1016/j.immuni.2012.05.008</w:t>
            </w:r>
          </w:p>
        </w:tc>
      </w:tr>
      <w:bookmarkEnd w:id="0"/>
    </w:tbl>
    <w:p w:rsidR="003750DD" w:rsidRPr="00CC7E5F" w:rsidRDefault="003750D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750DD" w:rsidRPr="00CC7E5F" w:rsidSect="0037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353A"/>
    <w:multiLevelType w:val="hybridMultilevel"/>
    <w:tmpl w:val="718220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26B"/>
    <w:rsid w:val="000232A2"/>
    <w:rsid w:val="00036F90"/>
    <w:rsid w:val="00055E83"/>
    <w:rsid w:val="00056D07"/>
    <w:rsid w:val="00057841"/>
    <w:rsid w:val="00067AED"/>
    <w:rsid w:val="000F1B5C"/>
    <w:rsid w:val="00123E5C"/>
    <w:rsid w:val="001628C8"/>
    <w:rsid w:val="00172809"/>
    <w:rsid w:val="0019196E"/>
    <w:rsid w:val="001C465F"/>
    <w:rsid w:val="001D0414"/>
    <w:rsid w:val="001F637D"/>
    <w:rsid w:val="00200E46"/>
    <w:rsid w:val="00206D07"/>
    <w:rsid w:val="0024226B"/>
    <w:rsid w:val="00243D0C"/>
    <w:rsid w:val="002F340B"/>
    <w:rsid w:val="0037484D"/>
    <w:rsid w:val="003750DD"/>
    <w:rsid w:val="003A2748"/>
    <w:rsid w:val="003A5951"/>
    <w:rsid w:val="003E27E7"/>
    <w:rsid w:val="00423145"/>
    <w:rsid w:val="00431011"/>
    <w:rsid w:val="00473C87"/>
    <w:rsid w:val="004A278E"/>
    <w:rsid w:val="004D4E9E"/>
    <w:rsid w:val="005538A6"/>
    <w:rsid w:val="00557CBF"/>
    <w:rsid w:val="006125C5"/>
    <w:rsid w:val="00625FE4"/>
    <w:rsid w:val="00684068"/>
    <w:rsid w:val="006E62B6"/>
    <w:rsid w:val="00780B78"/>
    <w:rsid w:val="00797D96"/>
    <w:rsid w:val="007A7EC9"/>
    <w:rsid w:val="007C60EF"/>
    <w:rsid w:val="007D3C3F"/>
    <w:rsid w:val="00843596"/>
    <w:rsid w:val="00850579"/>
    <w:rsid w:val="00850F33"/>
    <w:rsid w:val="00896C69"/>
    <w:rsid w:val="008D213E"/>
    <w:rsid w:val="009757EA"/>
    <w:rsid w:val="009808DB"/>
    <w:rsid w:val="00994DAF"/>
    <w:rsid w:val="009C384B"/>
    <w:rsid w:val="009F2C73"/>
    <w:rsid w:val="00A03C47"/>
    <w:rsid w:val="00A26490"/>
    <w:rsid w:val="00A27B61"/>
    <w:rsid w:val="00A71A3C"/>
    <w:rsid w:val="00A86B25"/>
    <w:rsid w:val="00A9343E"/>
    <w:rsid w:val="00AA6230"/>
    <w:rsid w:val="00AC5ABA"/>
    <w:rsid w:val="00B271CC"/>
    <w:rsid w:val="00BD57B0"/>
    <w:rsid w:val="00C453B6"/>
    <w:rsid w:val="00C47F56"/>
    <w:rsid w:val="00C72008"/>
    <w:rsid w:val="00C902B7"/>
    <w:rsid w:val="00CC7E5F"/>
    <w:rsid w:val="00D00F48"/>
    <w:rsid w:val="00D37EB3"/>
    <w:rsid w:val="00D74E9A"/>
    <w:rsid w:val="00E02135"/>
    <w:rsid w:val="00E064A2"/>
    <w:rsid w:val="00E4323E"/>
    <w:rsid w:val="00E86AF9"/>
    <w:rsid w:val="00F5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26B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242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789/" TargetMode="External"/><Relationship Id="rId13" Type="http://schemas.openxmlformats.org/officeDocument/2006/relationships/hyperlink" Target="https://doi.org/10.15789/1563-0625-2006-1-5-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ibrary.ru/download/elibrary_21104319_58743264.pdf" TargetMode="External"/><Relationship Id="rId12" Type="http://schemas.openxmlformats.org/officeDocument/2006/relationships/hyperlink" Target="https://www.elibrary.ru/download/elibrary_11608404_4572858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5789/2220-7619-2017-3-245-250" TargetMode="External"/><Relationship Id="rId11" Type="http://schemas.openxmlformats.org/officeDocument/2006/relationships/hyperlink" Target="https://www.elibrary.ru/item.asp?id=241570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aids.org/ru/resources/fact-sheet" TargetMode="External"/><Relationship Id="rId10" Type="http://schemas.openxmlformats.org/officeDocument/2006/relationships/hyperlink" Target="https://www.pasteurorg.ru/files/materials/news/Guinea_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789/1563-0625-2016-3-239-250" TargetMode="External"/><Relationship Id="rId14" Type="http://schemas.openxmlformats.org/officeDocument/2006/relationships/hyperlink" Target="https://www.pasteurorg.ru/files/materials/news/Guinea_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61к</cp:lastModifiedBy>
  <cp:revision>9</cp:revision>
  <dcterms:created xsi:type="dcterms:W3CDTF">2020-05-26T09:40:00Z</dcterms:created>
  <dcterms:modified xsi:type="dcterms:W3CDTF">2020-06-09T11:54:00Z</dcterms:modified>
</cp:coreProperties>
</file>