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915"/>
        <w:gridCol w:w="2208"/>
        <w:gridCol w:w="2818"/>
        <w:gridCol w:w="7085"/>
      </w:tblGrid>
      <w:tr w:rsidR="00B602E4" w:rsidRPr="00095D09" w:rsidTr="00B602E4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2E4" w:rsidRP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ru-RU" w:eastAsia="ru-RU"/>
              </w:rPr>
              <w:t>П</w:t>
            </w:r>
            <w:r w:rsidRPr="00B602E4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ru-RU" w:eastAsia="ru-RU"/>
              </w:rPr>
              <w:t>орядковый номер ссылки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2E4" w:rsidRP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 w:rsidRPr="00B602E4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ru-RU" w:eastAsia="ru-RU"/>
              </w:rPr>
              <w:t>Авторы, название публикации и источника, где она опубликована, выходные данные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2E4" w:rsidRP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 w:rsidRPr="00B602E4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ru-RU" w:eastAsia="ru-RU"/>
              </w:rPr>
              <w:t>ФИО, название публикации и источника на английском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2E4" w:rsidRP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 w:rsidRPr="00B602E4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ru-RU" w:eastAsia="ru-RU"/>
              </w:rPr>
              <w:t xml:space="preserve">Полный интернет-адрес (URL) цитируемой статьи или ее </w:t>
            </w:r>
            <w:proofErr w:type="spellStart"/>
            <w:r w:rsidRPr="00B602E4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ru-RU" w:eastAsia="ru-RU"/>
              </w:rPr>
              <w:t>doi</w:t>
            </w:r>
            <w:proofErr w:type="spellEnd"/>
            <w:r w:rsidRPr="00B602E4">
              <w:rPr>
                <w:rFonts w:ascii="Arial" w:eastAsia="Times New Roman" w:hAnsi="Arial" w:cs="Arial"/>
                <w:b/>
                <w:bCs/>
                <w:color w:val="606060"/>
                <w:sz w:val="18"/>
                <w:szCs w:val="18"/>
                <w:lang w:val="ru-RU" w:eastAsia="ru-RU"/>
              </w:rPr>
              <w:t>.</w:t>
            </w:r>
          </w:p>
        </w:tc>
      </w:tr>
      <w:tr w:rsidR="00B602E4" w:rsidRPr="00F35CCB" w:rsidTr="005219C2">
        <w:trPr>
          <w:trHeight w:val="2632"/>
        </w:trPr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2E4" w:rsidRP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602E4" w:rsidRPr="00B602E4" w:rsidRDefault="00095D09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 w:rsidRPr="00095D09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t xml:space="preserve">Берзина А.Г., </w:t>
            </w:r>
            <w:proofErr w:type="spellStart"/>
            <w:r w:rsidRPr="00095D09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t>Гамалея</w:t>
            </w:r>
            <w:proofErr w:type="spellEnd"/>
            <w:r w:rsidRPr="00095D09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t xml:space="preserve"> Н.Б., Сергеева В.Е., Трофимов </w:t>
            </w:r>
            <w:proofErr w:type="spellStart"/>
            <w:proofErr w:type="gramStart"/>
            <w:r w:rsidRPr="00095D09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t>А.В.,Кротов</w:t>
            </w:r>
            <w:proofErr w:type="spellEnd"/>
            <w:proofErr w:type="gramEnd"/>
            <w:r w:rsidRPr="00095D09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t xml:space="preserve"> Г.И., Ульянова Л.И. </w:t>
            </w:r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Получение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поликлональных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и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моноклональных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антител к двум производным морфина  // Вопросы наркологии. – 2016. – №11-12. – С. 39-54.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219C2" w:rsidRPr="005219C2" w:rsidRDefault="005219C2" w:rsidP="005219C2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Berzina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A.G.,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Gamaleya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N.B.,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Sergeeva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V.E.,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Trofimov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A.V.,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Krotov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G.I.,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Ul’yanova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L.I. Production of polyclonal and monoclonal antibodies against two morphine derivatives. Journal of Addiction Problems, 2016, no. 11-12, pp. 39-5</w:t>
            </w: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4</w:t>
            </w:r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.</w:t>
            </w:r>
          </w:p>
          <w:p w:rsidR="00B602E4" w:rsidRPr="005219C2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35CCB" w:rsidRDefault="00F35CCB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hyperlink r:id="rId5" w:history="1"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https://elibrary.ru/item.asp?id=30024412</w:t>
              </w:r>
            </w:hyperlink>
          </w:p>
          <w:p w:rsidR="00B602E4" w:rsidRPr="00F35CCB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F35CCB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 </w:t>
            </w:r>
          </w:p>
          <w:p w:rsidR="00B602E4" w:rsidRPr="00F35CCB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F35CCB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 </w:t>
            </w:r>
          </w:p>
        </w:tc>
      </w:tr>
      <w:tr w:rsidR="00B602E4" w:rsidRPr="00095D09" w:rsidTr="00B602E4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B602E4" w:rsidRDefault="00095D09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Берзина А.Г., Ульянова Л.И.,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Гамалея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Н.Б.,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Станкова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Н.В.,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Капанадзе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Г.Д. Изучение иммунного ответа у мини-свиней светлогорской популяции к двум производным морфина // Биомедицина. – 2018. – № 2. – С. 15-21.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9C2" w:rsidRPr="00095D09" w:rsidRDefault="005219C2" w:rsidP="005219C2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Berzina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A.G.,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Ul’yanova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L.I.,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Gamaleya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N.B.,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Stankova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N.V.,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Kapanadze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G.D. The study of the immune response of mini-pigs of the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Svetlogorsk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population to two morphine derivatives. Biomedicine, 2018, no. 2, pp. 15-21.</w:t>
            </w:r>
          </w:p>
          <w:p w:rsidR="00B602E4" w:rsidRPr="00B602E4" w:rsidRDefault="00B602E4" w:rsidP="005219C2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Default="009F5CDF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hyperlink r:id="rId6" w:history="1"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http://scbmt.ru/mag/2018/biomedicine_2_2018.pdf</w:t>
              </w:r>
            </w:hyperlink>
          </w:p>
          <w:p w:rsidR="009F5CDF" w:rsidRPr="00B602E4" w:rsidRDefault="009F5CDF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</w:p>
        </w:tc>
      </w:tr>
      <w:tr w:rsidR="00B602E4" w:rsidRPr="00095D09" w:rsidTr="00B602E4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B602E4" w:rsidRDefault="00095D09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proofErr w:type="spellStart"/>
            <w:r w:rsidRPr="00095D09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t>Гамалея</w:t>
            </w:r>
            <w:proofErr w:type="spellEnd"/>
            <w:r w:rsidRPr="00095D09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t xml:space="preserve"> Н.Б., Берзина А.Г., Шестаков К.А., </w:t>
            </w:r>
            <w:proofErr w:type="spellStart"/>
            <w:r w:rsidRPr="00095D09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t>Капанадзе</w:t>
            </w:r>
            <w:proofErr w:type="spellEnd"/>
            <w:r w:rsidRPr="00095D09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t xml:space="preserve"> Г.Д., Ревякин А.О., Фокин Ю.В.</w:t>
            </w:r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</w:t>
            </w:r>
            <w:r w:rsidRPr="00095D09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t xml:space="preserve">Иммуноген для лечения и профилактики зависимости от </w:t>
            </w:r>
            <w:r w:rsidRPr="00095D09">
              <w:rPr>
                <w:rFonts w:ascii="Arial" w:eastAsia="Times New Roman" w:hAnsi="Arial" w:cs="Arial"/>
                <w:bCs/>
                <w:color w:val="606060"/>
                <w:sz w:val="18"/>
                <w:szCs w:val="18"/>
                <w:lang w:val="ru-RU" w:eastAsia="ru-RU"/>
              </w:rPr>
              <w:lastRenderedPageBreak/>
              <w:t>опиатов.</w:t>
            </w:r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Патент на изобретение </w:t>
            </w:r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RU</w:t>
            </w:r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№ 2548802, 2015.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9C2" w:rsidRPr="005219C2" w:rsidRDefault="005219C2" w:rsidP="005219C2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lastRenderedPageBreak/>
              <w:t>Gamaleya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N.B.,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Berzina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A.G.,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Shestakov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K.A.,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Kapanadze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G.D.,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Revyakin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A.O.,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Fokin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Yu.V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Immunogen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for the treatment and prevention of opiate </w:t>
            </w:r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lastRenderedPageBreak/>
              <w:t xml:space="preserve">dependence. Patent RU 2548802, 2015.  </w:t>
            </w:r>
          </w:p>
          <w:p w:rsidR="00B602E4" w:rsidRP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B602E4" w:rsidRDefault="007630B1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hyperlink r:id="rId7" w:history="1"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https://patents.google.com/patent/RU2548802C1/ru</w:t>
              </w:r>
            </w:hyperlink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br/>
            </w:r>
          </w:p>
        </w:tc>
      </w:tr>
      <w:tr w:rsidR="00B602E4" w:rsidRPr="00095D09" w:rsidTr="00B602E4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lastRenderedPageBreak/>
              <w:t>4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B602E4" w:rsidRDefault="00095D09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Гамалея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Н.Б., Берзина А.Г., Ульянова Л.И. Методологические основы создания вакцины для иммунотерапии зависимости от опиатов // Вопросы наркологии. – 2017. – № 4-5, С. 32-56.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9C2" w:rsidRPr="005219C2" w:rsidRDefault="005219C2" w:rsidP="005219C2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Gamaleya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N.B.,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Berzina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A.G.,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Ulyanova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L.I.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Methological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bases for creating a vaccine for immunotherapy of opioid use disorder. Journal of Addiction Problems, </w:t>
            </w: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2017, no. 4-5, pp. </w:t>
            </w:r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3</w:t>
            </w: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2</w:t>
            </w:r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-56.</w:t>
            </w:r>
          </w:p>
          <w:p w:rsidR="00B602E4" w:rsidRP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B602E4" w:rsidRDefault="007630B1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hyperlink r:id="rId8" w:history="1"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https://elibrary.ru/item.asp?id=30103929</w:t>
              </w:r>
            </w:hyperlink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br/>
            </w:r>
          </w:p>
        </w:tc>
      </w:tr>
      <w:tr w:rsidR="00B602E4" w:rsidRPr="00095D09" w:rsidTr="00B602E4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5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B602E4" w:rsidRDefault="00095D09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Кулаев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Д.В.,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Насибов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С.М., Маркин С.С., Бобков Ю.Г., Семенов М.П.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Хроматографический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способ выделения альфа-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фетопротеина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// Патент на изобретение </w:t>
            </w:r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RU</w:t>
            </w:r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№ 2094078, 1997.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9C2" w:rsidRPr="005219C2" w:rsidRDefault="005219C2" w:rsidP="005219C2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Kulaev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D.V.,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Nasibov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S.M.,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Markin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S.S.,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Bobkov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Yu.G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., Semenov M.P.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Chromatografic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method of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alfa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-fetoprotein isolation. Patent RU 2094078, 1997.</w:t>
            </w:r>
          </w:p>
          <w:p w:rsidR="00B602E4" w:rsidRP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Default="007630B1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hyperlink r:id="rId9" w:history="1"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http://www.freepatent.ru/patents/2094078</w:t>
              </w:r>
            </w:hyperlink>
          </w:p>
          <w:p w:rsidR="007630B1" w:rsidRPr="00B602E4" w:rsidRDefault="007630B1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</w:p>
        </w:tc>
      </w:tr>
      <w:tr w:rsidR="00B602E4" w:rsidRPr="007630B1" w:rsidTr="00B602E4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095D09" w:rsidRDefault="00095D09" w:rsidP="005219C2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Barucca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Capitani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M.,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Cesca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M.,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Tomassoni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D.,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Kazmi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U.,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Concetti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F.,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Vincenzetti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L.,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Concetti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Venanzi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F.M. Recombinant DNA technology for melanoma immunotherapy: anti-Id DNA vaccines targeting high molecular weight melanoma-associated antigen. Mol.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Biotechnol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., </w:t>
            </w:r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lastRenderedPageBreak/>
              <w:t xml:space="preserve">2014, Vol. 56, no. 11, pp. 1032-1039. 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5219C2" w:rsidRDefault="005219C2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lastRenderedPageBreak/>
              <w:t>-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30B1" w:rsidRDefault="007630B1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hyperlink r:id="rId10" w:history="1"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://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link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.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springer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.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com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article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/10.1007/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s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12033-014-9782-9</w:t>
              </w:r>
            </w:hyperlink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[</w:t>
            </w:r>
            <w:r w:rsidR="005219C2"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10.1007/</w:t>
            </w:r>
            <w:r w:rsidR="005219C2"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s</w:t>
            </w:r>
            <w:r w:rsidR="005219C2"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12033-014-9782-9</w:t>
            </w: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]</w:t>
            </w:r>
            <w:r w:rsidR="005219C2"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           </w:t>
            </w:r>
          </w:p>
          <w:p w:rsidR="00B602E4" w:rsidRPr="007630B1" w:rsidRDefault="005219C2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              </w:t>
            </w:r>
          </w:p>
        </w:tc>
      </w:tr>
      <w:tr w:rsidR="00B602E4" w:rsidRPr="007630B1" w:rsidTr="00B602E4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7630B1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lastRenderedPageBreak/>
              <w:t>7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095D09" w:rsidRDefault="00095D09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Basak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S., Eck S.,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Gutzmer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R., Smith A.J.,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Birebent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B.,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Purev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E.,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Staib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L.,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Somasundaram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R.,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Zaloudik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J., Li W., Jacob L., Mitchell E.,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Speicher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D.,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Herlyn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D. Colorectal cancer vaccines: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antiidiotypic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antibody, recombinant protein, and viral vector. Ann. N.Y. Acad. Sci., 2000, Vol. 910, Issue 1, pp. 237-252. 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5219C2" w:rsidRDefault="005219C2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30B1" w:rsidRPr="007630B1" w:rsidRDefault="007630B1" w:rsidP="007630B1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hyperlink r:id="rId11" w:history="1"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://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nyaspubs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.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onlinelibrary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.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wiley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.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com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doi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abs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/10.1111/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j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.1749-6632.2000.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tb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06712.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x</w:t>
              </w:r>
            </w:hyperlink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</w:t>
            </w: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[</w:t>
            </w: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10.1111</w:t>
            </w: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j</w:t>
            </w: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.</w:t>
            </w: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1</w:t>
            </w: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749-</w:t>
            </w: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6632.2000.tb06712.x</w:t>
            </w: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]            </w:t>
            </w:r>
          </w:p>
        </w:tc>
      </w:tr>
      <w:tr w:rsidR="00B602E4" w:rsidRPr="007630B1" w:rsidTr="00B602E4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7630B1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095D09" w:rsidRDefault="00095D09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Bellati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F.,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Napoletano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C.,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Ruscito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I.,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Antonilli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M.,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Gasparri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M.L.,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Zizzari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I.G.,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Rahimi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H.,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Rughetti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A., Benedetti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Panici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P.,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Nuti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M. Past, present and future strategies of immunotherapy in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gunecological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malignancies.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Curr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. Mol. Med., 2013, Vol. 13, no. 4, pp. 648-669. 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5219C2" w:rsidRDefault="005219C2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7630B1" w:rsidRDefault="007630B1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hyperlink r:id="rId12" w:history="1"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://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www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.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ingentaconnect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.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com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content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ben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cmm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/2013/00000013/00000004/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art</w:t>
              </w:r>
              <w:r w:rsidRPr="007630B1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00014</w:t>
              </w:r>
            </w:hyperlink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br/>
            </w:r>
          </w:p>
        </w:tc>
      </w:tr>
      <w:tr w:rsidR="00B602E4" w:rsidRPr="00B602E4" w:rsidTr="00B602E4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7630B1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5219C2" w:rsidRDefault="00095D09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Jerne N. K., Cocteau J.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Idiotypic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networks and other preconceived ideas. </w:t>
            </w:r>
            <w:proofErr w:type="spellStart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Immunol</w:t>
            </w:r>
            <w:proofErr w:type="spellEnd"/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. Rev. 1984. Vol. 79</w:t>
            </w:r>
            <w:r w:rsidR="005219C2"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,</w:t>
            </w:r>
            <w:r w:rsidRPr="00095D09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no. 1, pp. 5–24.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7630B1" w:rsidRDefault="005219C2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630B1" w:rsidRPr="007630B1" w:rsidRDefault="007630B1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hyperlink r:id="rId13" w:history="1"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https://onlinelibrary.wiley.com/doi/abs/10.1111/j.1600-065X.1984.tb00484.x</w:t>
              </w:r>
            </w:hyperlink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[</w:t>
            </w:r>
            <w:r w:rsidR="00473584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10.1111/</w:t>
            </w: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j.1600-065X.1984.tb00484.x</w:t>
            </w: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]</w:t>
            </w:r>
          </w:p>
        </w:tc>
      </w:tr>
      <w:tr w:rsidR="00B602E4" w:rsidRPr="00473584" w:rsidTr="00B602E4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7630B1" w:rsidRDefault="00B602E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7630B1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lastRenderedPageBreak/>
              <w:t>10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5219C2" w:rsidRDefault="005219C2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Hermanson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Greg T,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Bioconjugate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Techniques// ISBN </w:t>
            </w:r>
            <w:r w:rsidR="00473584" w:rsidRPr="00473584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9780123705013</w:t>
            </w:r>
            <w:r w:rsidR="00B72458"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,</w:t>
            </w:r>
            <w:r w:rsidR="00473584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Academic Press, 2008</w:t>
            </w:r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Pr="005219C2" w:rsidRDefault="005219C2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602E4" w:rsidRDefault="0047358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hyperlink r:id="rId14" w:history="1"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://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www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</w:t>
              </w:r>
              <w:proofErr w:type="spellStart"/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elsevier</w:t>
              </w:r>
              <w:proofErr w:type="spellEnd"/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com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books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</w:t>
              </w:r>
              <w:proofErr w:type="spellStart"/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bioconjugate</w:t>
              </w:r>
              <w:proofErr w:type="spellEnd"/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-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techniques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</w:t>
              </w:r>
              <w:proofErr w:type="spellStart"/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hermanson</w:t>
              </w:r>
              <w:proofErr w:type="spellEnd"/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/978-0-12-370501-3</w:t>
              </w:r>
            </w:hyperlink>
          </w:p>
          <w:p w:rsidR="00473584" w:rsidRPr="00473584" w:rsidRDefault="0047358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</w:p>
        </w:tc>
      </w:tr>
      <w:tr w:rsidR="005219C2" w:rsidRPr="00473584" w:rsidTr="00B602E4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9C2" w:rsidRDefault="005219C2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11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9C2" w:rsidRPr="005219C2" w:rsidRDefault="005219C2" w:rsidP="005219C2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Schabacker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D.S.,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Kirschbaum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K.S., Serge M. Exploring the feasibility of an anti-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idiotypic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cocaine vaccine: analysis of the specificity of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anticocaine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antibodies (Ab1) capable of inducing Ab2β anti-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idiotypic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antibodies. Immunology, 2000, Vol. 100, no. 1, pp. 48-56.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9C2" w:rsidRPr="005219C2" w:rsidRDefault="005219C2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9C2" w:rsidRPr="00473584" w:rsidRDefault="0047358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hyperlink r:id="rId15" w:history="1"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://</w:t>
              </w:r>
              <w:proofErr w:type="spellStart"/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onlinelibrary</w:t>
              </w:r>
              <w:proofErr w:type="spellEnd"/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</w:t>
              </w:r>
              <w:proofErr w:type="spellStart"/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wiley</w:t>
              </w:r>
              <w:proofErr w:type="spellEnd"/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com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</w:t>
              </w:r>
              <w:proofErr w:type="spellStart"/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doi</w:t>
              </w:r>
              <w:proofErr w:type="spellEnd"/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full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/10.1046/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j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.1365-2567.2000.00004.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x</w:t>
              </w:r>
            </w:hyperlink>
            <w:r w:rsidRPr="00473584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[</w:t>
            </w:r>
            <w:r w:rsidRPr="00473584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10.1046/j.1365-2567.2000.00004.x</w:t>
            </w: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]</w:t>
            </w:r>
          </w:p>
          <w:p w:rsidR="00473584" w:rsidRPr="00473584" w:rsidRDefault="0047358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</w:p>
        </w:tc>
      </w:tr>
      <w:tr w:rsidR="005219C2" w:rsidRPr="00473584" w:rsidTr="00B602E4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9C2" w:rsidRDefault="005219C2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12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9C2" w:rsidRPr="005219C2" w:rsidRDefault="005219C2" w:rsidP="005219C2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Shivanand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Pandey. </w:t>
            </w:r>
            <w:proofErr w:type="spellStart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Hybridoma</w:t>
            </w:r>
            <w:proofErr w:type="spellEnd"/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 xml:space="preserve"> technology for production of monoclonal antibodies. Int. J. Pharm. Sci. Res., 2010, Vol. 1, no. 1, pp. 88-94</w:t>
            </w: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9C2" w:rsidRPr="005219C2" w:rsidRDefault="005219C2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9C2" w:rsidRPr="00473584" w:rsidRDefault="0047358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hyperlink r:id="rId16" w:history="1"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://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global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-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research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-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online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com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volume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1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issue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2/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Article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%20017.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pdf</w:t>
              </w:r>
            </w:hyperlink>
            <w:bookmarkStart w:id="0" w:name="_GoBack"/>
            <w:bookmarkEnd w:id="0"/>
          </w:p>
          <w:p w:rsidR="00473584" w:rsidRPr="00473584" w:rsidRDefault="0047358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</w:p>
        </w:tc>
      </w:tr>
      <w:tr w:rsidR="005219C2" w:rsidRPr="00473584" w:rsidTr="00B602E4"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9C2" w:rsidRDefault="005219C2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9C2" w:rsidRPr="005219C2" w:rsidRDefault="005219C2" w:rsidP="005219C2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</w:pPr>
            <w:r w:rsidRPr="005219C2">
              <w:rPr>
                <w:rFonts w:ascii="Arial" w:eastAsia="Times New Roman" w:hAnsi="Arial" w:cs="Arial"/>
                <w:color w:val="606060"/>
                <w:sz w:val="18"/>
                <w:szCs w:val="18"/>
                <w:lang w:eastAsia="ru-RU"/>
              </w:rPr>
              <w:t>Walker J. M. Methods Mol. Biol. 1984. Vol. 1. pp. 57-61</w:t>
            </w: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.</w:t>
            </w:r>
          </w:p>
        </w:tc>
        <w:tc>
          <w:tcPr>
            <w:tcW w:w="3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5219C2" w:rsidRPr="005219C2" w:rsidRDefault="005219C2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r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>-</w:t>
            </w:r>
          </w:p>
        </w:tc>
        <w:tc>
          <w:tcPr>
            <w:tcW w:w="53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73584" w:rsidRPr="00473584" w:rsidRDefault="00473584" w:rsidP="00B602E4">
            <w:pPr>
              <w:spacing w:before="240" w:after="240" w:line="240" w:lineRule="auto"/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</w:pPr>
            <w:hyperlink r:id="rId17" w:history="1"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https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://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link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springer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.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com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eastAsia="ru-RU"/>
                </w:rPr>
                <w:t>protocol</w:t>
              </w:r>
              <w:r w:rsidRPr="00312D17">
                <w:rPr>
                  <w:rStyle w:val="a5"/>
                  <w:rFonts w:ascii="Arial" w:eastAsia="Times New Roman" w:hAnsi="Arial" w:cs="Arial"/>
                  <w:sz w:val="18"/>
                  <w:szCs w:val="18"/>
                  <w:lang w:val="ru-RU" w:eastAsia="ru-RU"/>
                </w:rPr>
                <w:t>/10.1385/0-89603-062-8:57</w:t>
              </w:r>
            </w:hyperlink>
            <w:r w:rsidRPr="00473584">
              <w:rPr>
                <w:rFonts w:ascii="Arial" w:eastAsia="Times New Roman" w:hAnsi="Arial" w:cs="Arial"/>
                <w:color w:val="606060"/>
                <w:sz w:val="18"/>
                <w:szCs w:val="18"/>
                <w:lang w:val="ru-RU" w:eastAsia="ru-RU"/>
              </w:rPr>
              <w:t xml:space="preserve"> [10.1385/0-89603-062-8:57]</w:t>
            </w:r>
          </w:p>
        </w:tc>
      </w:tr>
    </w:tbl>
    <w:p w:rsidR="00B602E4" w:rsidRPr="00473584" w:rsidRDefault="00B602E4" w:rsidP="005219C2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694543" w:rsidRPr="00B602E4" w:rsidRDefault="00694543">
      <w:pPr>
        <w:rPr>
          <w:lang w:val="ru-RU"/>
        </w:rPr>
      </w:pPr>
    </w:p>
    <w:sectPr w:rsidR="00694543" w:rsidRPr="00B602E4" w:rsidSect="00B602E4">
      <w:pgSz w:w="15840" w:h="12240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C81414"/>
    <w:multiLevelType w:val="hybridMultilevel"/>
    <w:tmpl w:val="E6E21EA8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2E4"/>
    <w:rsid w:val="00095D09"/>
    <w:rsid w:val="00473584"/>
    <w:rsid w:val="005219C2"/>
    <w:rsid w:val="00694543"/>
    <w:rsid w:val="007630B1"/>
    <w:rsid w:val="009F5CDF"/>
    <w:rsid w:val="00B602E4"/>
    <w:rsid w:val="00B72458"/>
    <w:rsid w:val="00F3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A89E6E-78D4-473E-8E68-E41FE180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0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B602E4"/>
    <w:rPr>
      <w:b/>
      <w:bCs/>
    </w:rPr>
  </w:style>
  <w:style w:type="character" w:styleId="a5">
    <w:name w:val="Hyperlink"/>
    <w:basedOn w:val="a0"/>
    <w:uiPriority w:val="99"/>
    <w:unhideWhenUsed/>
    <w:rsid w:val="00B602E4"/>
    <w:rPr>
      <w:color w:val="0000FF"/>
      <w:u w:val="single"/>
    </w:rPr>
  </w:style>
  <w:style w:type="character" w:styleId="a6">
    <w:name w:val="Emphasis"/>
    <w:basedOn w:val="a0"/>
    <w:uiPriority w:val="20"/>
    <w:qFormat/>
    <w:rsid w:val="00B602E4"/>
    <w:rPr>
      <w:i/>
      <w:iCs/>
    </w:rPr>
  </w:style>
  <w:style w:type="paragraph" w:styleId="a7">
    <w:name w:val="List Paragraph"/>
    <w:basedOn w:val="a"/>
    <w:qFormat/>
    <w:rsid w:val="00B602E4"/>
    <w:pPr>
      <w:spacing w:after="0" w:line="240" w:lineRule="auto"/>
      <w:ind w:left="720"/>
    </w:pPr>
    <w:rPr>
      <w:rFonts w:ascii="Calibri" w:eastAsia="Calibri" w:hAnsi="Calibri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item.asp?id=30103929" TargetMode="External"/><Relationship Id="rId13" Type="http://schemas.openxmlformats.org/officeDocument/2006/relationships/hyperlink" Target="https://onlinelibrary.wiley.com/doi/abs/10.1111/j.1600-065X.1984.tb00484.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tents.google.com/patent/RU2548802C1/ru" TargetMode="External"/><Relationship Id="rId12" Type="http://schemas.openxmlformats.org/officeDocument/2006/relationships/hyperlink" Target="https://www.ingentaconnect.com/content/ben/cmm/2013/00000013/00000004/art00014" TargetMode="External"/><Relationship Id="rId17" Type="http://schemas.openxmlformats.org/officeDocument/2006/relationships/hyperlink" Target="https://link.springer.com/protocol/10.1385/0-89603-062-8:57" TargetMode="External"/><Relationship Id="rId2" Type="http://schemas.openxmlformats.org/officeDocument/2006/relationships/styles" Target="styles.xml"/><Relationship Id="rId16" Type="http://schemas.openxmlformats.org/officeDocument/2006/relationships/hyperlink" Target="http://global-research-online.com/volume1issue2/Article%20017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bmt.ru/mag/2018/biomedicine_2_2018.pdf" TargetMode="External"/><Relationship Id="rId11" Type="http://schemas.openxmlformats.org/officeDocument/2006/relationships/hyperlink" Target="https://nyaspubs.onlinelibrary.wiley.com/doi/abs/10.1111/j.1749-6632.2000.tb06712.x" TargetMode="External"/><Relationship Id="rId5" Type="http://schemas.openxmlformats.org/officeDocument/2006/relationships/hyperlink" Target="https://elibrary.ru/item.asp?id=30024412" TargetMode="External"/><Relationship Id="rId15" Type="http://schemas.openxmlformats.org/officeDocument/2006/relationships/hyperlink" Target="https://onlinelibrary.wiley.com/doi/full/10.1046/j.1365-2567.2000.00004.x" TargetMode="External"/><Relationship Id="rId10" Type="http://schemas.openxmlformats.org/officeDocument/2006/relationships/hyperlink" Target="https://link.springer.com/article/10.1007/s12033-014-9782-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freepatent.ru/patents/2094078" TargetMode="External"/><Relationship Id="rId14" Type="http://schemas.openxmlformats.org/officeDocument/2006/relationships/hyperlink" Target="https://www.elsevier.com/books/bioconjugate-techniques/hermanson/978-0-12-370501-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Давыдова</dc:creator>
  <cp:keywords/>
  <dc:description/>
  <cp:lastModifiedBy>Александра Давыдова</cp:lastModifiedBy>
  <cp:revision>3</cp:revision>
  <dcterms:created xsi:type="dcterms:W3CDTF">2018-10-11T11:28:00Z</dcterms:created>
  <dcterms:modified xsi:type="dcterms:W3CDTF">2018-10-11T21:30:00Z</dcterms:modified>
</cp:coreProperties>
</file>