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47" w:type="dxa"/>
        <w:tblInd w:w="-176" w:type="dxa"/>
        <w:tblLook w:val="04A0"/>
      </w:tblPr>
      <w:tblGrid>
        <w:gridCol w:w="1219"/>
        <w:gridCol w:w="1004"/>
        <w:gridCol w:w="1214"/>
        <w:gridCol w:w="1044"/>
        <w:gridCol w:w="1178"/>
        <w:gridCol w:w="1092"/>
        <w:gridCol w:w="1188"/>
        <w:gridCol w:w="2008"/>
      </w:tblGrid>
      <w:tr w:rsidR="00852294" w:rsidRPr="00B250FB" w:rsidTr="009C5248">
        <w:trPr>
          <w:trHeight w:val="708"/>
        </w:trPr>
        <w:tc>
          <w:tcPr>
            <w:tcW w:w="12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2294" w:rsidRPr="00B250FB" w:rsidRDefault="00852294" w:rsidP="009C5248">
            <w:pPr>
              <w:spacing w:after="0" w:line="240" w:lineRule="auto"/>
              <w:ind w:left="-284"/>
              <w:jc w:val="right"/>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Аллель</w:t>
            </w:r>
          </w:p>
        </w:tc>
        <w:tc>
          <w:tcPr>
            <w:tcW w:w="1004" w:type="dxa"/>
            <w:tcBorders>
              <w:top w:val="single" w:sz="4" w:space="0" w:color="auto"/>
              <w:left w:val="nil"/>
              <w:bottom w:val="single" w:sz="4" w:space="0" w:color="auto"/>
              <w:right w:val="single" w:sz="4" w:space="0" w:color="auto"/>
            </w:tcBorders>
            <w:shd w:val="clear" w:color="auto" w:fill="auto"/>
            <w:vAlign w:val="center"/>
            <w:hideMark/>
          </w:tcPr>
          <w:p w:rsidR="00852294" w:rsidRPr="00B250FB" w:rsidRDefault="00852294" w:rsidP="009C5248">
            <w:pPr>
              <w:spacing w:after="0" w:line="240" w:lineRule="auto"/>
              <w:ind w:left="-284"/>
              <w:jc w:val="right"/>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Россия (n=119)</w:t>
            </w:r>
          </w:p>
        </w:tc>
        <w:tc>
          <w:tcPr>
            <w:tcW w:w="1214" w:type="dxa"/>
            <w:tcBorders>
              <w:top w:val="single" w:sz="4" w:space="0" w:color="auto"/>
              <w:left w:val="nil"/>
              <w:bottom w:val="single" w:sz="4" w:space="0" w:color="auto"/>
              <w:right w:val="single" w:sz="4" w:space="0" w:color="auto"/>
            </w:tcBorders>
            <w:shd w:val="clear" w:color="auto" w:fill="auto"/>
            <w:vAlign w:val="center"/>
            <w:hideMark/>
          </w:tcPr>
          <w:p w:rsidR="00852294" w:rsidRPr="00B250FB" w:rsidRDefault="00852294" w:rsidP="009C5248">
            <w:pPr>
              <w:spacing w:after="0" w:line="240" w:lineRule="auto"/>
              <w:ind w:left="-284"/>
              <w:jc w:val="right"/>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Германия (n=110)</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rsidR="00852294" w:rsidRPr="00B250FB" w:rsidRDefault="00852294" w:rsidP="009C5248">
            <w:pPr>
              <w:spacing w:after="0" w:line="240" w:lineRule="auto"/>
              <w:ind w:left="-284"/>
              <w:jc w:val="right"/>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Австрия (n=320)</w:t>
            </w:r>
          </w:p>
        </w:tc>
        <w:tc>
          <w:tcPr>
            <w:tcW w:w="1178" w:type="dxa"/>
            <w:tcBorders>
              <w:top w:val="single" w:sz="4" w:space="0" w:color="auto"/>
              <w:left w:val="nil"/>
              <w:bottom w:val="single" w:sz="4" w:space="0" w:color="auto"/>
              <w:right w:val="single" w:sz="4" w:space="0" w:color="auto"/>
            </w:tcBorders>
            <w:shd w:val="clear" w:color="auto" w:fill="auto"/>
            <w:vAlign w:val="center"/>
            <w:hideMark/>
          </w:tcPr>
          <w:p w:rsidR="00852294" w:rsidRPr="00B250FB" w:rsidRDefault="00852294" w:rsidP="009C5248">
            <w:pPr>
              <w:spacing w:after="0" w:line="240" w:lineRule="auto"/>
              <w:ind w:left="-284"/>
              <w:jc w:val="right"/>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Словакия (n=124)</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852294" w:rsidRPr="00B250FB" w:rsidRDefault="00852294" w:rsidP="009C5248">
            <w:pPr>
              <w:spacing w:after="0" w:line="240" w:lineRule="auto"/>
              <w:ind w:left="-284"/>
              <w:jc w:val="right"/>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Япония (n=114)*</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852294" w:rsidRPr="00B250FB" w:rsidRDefault="00852294" w:rsidP="009C5248">
            <w:pPr>
              <w:spacing w:after="0" w:line="240" w:lineRule="auto"/>
              <w:ind w:left="-284"/>
              <w:jc w:val="right"/>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Корея (n=199)**</w:t>
            </w:r>
          </w:p>
        </w:tc>
        <w:tc>
          <w:tcPr>
            <w:tcW w:w="2008" w:type="dxa"/>
            <w:tcBorders>
              <w:top w:val="single" w:sz="4" w:space="0" w:color="auto"/>
              <w:left w:val="nil"/>
              <w:bottom w:val="single" w:sz="4" w:space="0" w:color="auto"/>
              <w:right w:val="single" w:sz="4" w:space="0" w:color="auto"/>
            </w:tcBorders>
            <w:shd w:val="clear" w:color="auto" w:fill="auto"/>
            <w:vAlign w:val="center"/>
            <w:hideMark/>
          </w:tcPr>
          <w:p w:rsidR="00852294" w:rsidRPr="00B250FB" w:rsidRDefault="00852294" w:rsidP="009C5248">
            <w:pPr>
              <w:spacing w:after="0" w:line="240" w:lineRule="auto"/>
              <w:ind w:left="-284"/>
              <w:jc w:val="right"/>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Северный Китай (n=104) ***</w:t>
            </w:r>
          </w:p>
        </w:tc>
      </w:tr>
      <w:tr w:rsidR="00852294" w:rsidRPr="00B250FB" w:rsidTr="009C5248">
        <w:trPr>
          <w:cantSplit/>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 xml:space="preserve">*001 </w:t>
            </w:r>
          </w:p>
        </w:tc>
        <w:tc>
          <w:tcPr>
            <w:tcW w:w="1004" w:type="dxa"/>
            <w:tcBorders>
              <w:top w:val="nil"/>
              <w:left w:val="nil"/>
              <w:bottom w:val="nil"/>
              <w:right w:val="nil"/>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 xml:space="preserve">- </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0,5</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0,9</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r>
      <w:tr w:rsidR="00852294" w:rsidRPr="00B250FB" w:rsidTr="009C5248">
        <w:trPr>
          <w:cantSplit/>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*002</w:t>
            </w:r>
          </w:p>
        </w:tc>
        <w:tc>
          <w:tcPr>
            <w:tcW w:w="1004" w:type="dxa"/>
            <w:tcBorders>
              <w:top w:val="nil"/>
              <w:left w:val="nil"/>
              <w:bottom w:val="nil"/>
              <w:right w:val="nil"/>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19,3</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13,2</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10,9</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16,5</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12,5</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17,8</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12,0</w:t>
            </w:r>
          </w:p>
        </w:tc>
      </w:tr>
      <w:tr w:rsidR="00852294" w:rsidRPr="00B250FB" w:rsidTr="009C5248">
        <w:trPr>
          <w:cantSplit/>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 xml:space="preserve">*004   </w:t>
            </w:r>
          </w:p>
        </w:tc>
        <w:tc>
          <w:tcPr>
            <w:tcW w:w="1004" w:type="dxa"/>
            <w:tcBorders>
              <w:top w:val="nil"/>
              <w:left w:val="nil"/>
              <w:bottom w:val="nil"/>
              <w:right w:val="nil"/>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6,7</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5,5</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6,4</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7,3</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11,1</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12,3</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4,8</w:t>
            </w:r>
          </w:p>
        </w:tc>
      </w:tr>
      <w:tr w:rsidR="00852294" w:rsidRPr="00B250FB" w:rsidTr="009C5248">
        <w:trPr>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*006</w:t>
            </w:r>
          </w:p>
        </w:tc>
        <w:tc>
          <w:tcPr>
            <w:tcW w:w="100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0,5</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0,3</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0,8</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r>
      <w:tr w:rsidR="00852294" w:rsidRPr="00B250FB" w:rsidTr="009C5248">
        <w:trPr>
          <w:cantSplit/>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*007</w:t>
            </w:r>
          </w:p>
        </w:tc>
        <w:tc>
          <w:tcPr>
            <w:tcW w:w="1004" w:type="dxa"/>
            <w:tcBorders>
              <w:top w:val="nil"/>
              <w:left w:val="nil"/>
              <w:bottom w:val="nil"/>
              <w:right w:val="nil"/>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3,0</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3,2</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4,5</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6,9</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0,9</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3,3</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1,5</w:t>
            </w:r>
          </w:p>
        </w:tc>
      </w:tr>
      <w:tr w:rsidR="00852294" w:rsidRPr="00B250FB" w:rsidTr="009C5248">
        <w:trPr>
          <w:cantSplit/>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 xml:space="preserve">*008   </w:t>
            </w:r>
          </w:p>
        </w:tc>
        <w:tc>
          <w:tcPr>
            <w:tcW w:w="1004" w:type="dxa"/>
            <w:tcBorders>
              <w:top w:val="nil"/>
              <w:left w:val="nil"/>
              <w:bottom w:val="nil"/>
              <w:right w:val="nil"/>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35,7</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40,5</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43,1</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37,1</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25,2</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10,8</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23,6</w:t>
            </w:r>
          </w:p>
        </w:tc>
      </w:tr>
      <w:tr w:rsidR="00852294" w:rsidRPr="00B250FB" w:rsidTr="009C5248">
        <w:trPr>
          <w:cantSplit/>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 xml:space="preserve">*009   </w:t>
            </w:r>
          </w:p>
        </w:tc>
        <w:tc>
          <w:tcPr>
            <w:tcW w:w="1004" w:type="dxa"/>
            <w:tcBorders>
              <w:top w:val="nil"/>
              <w:left w:val="nil"/>
              <w:bottom w:val="nil"/>
              <w:right w:val="nil"/>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10,1</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10,9</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10,9</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11,3</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18,4</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10,6</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12,5</w:t>
            </w:r>
          </w:p>
        </w:tc>
      </w:tr>
      <w:tr w:rsidR="00852294" w:rsidRPr="00B250FB" w:rsidTr="009C5248">
        <w:trPr>
          <w:cantSplit/>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 xml:space="preserve">*010  </w:t>
            </w:r>
          </w:p>
        </w:tc>
        <w:tc>
          <w:tcPr>
            <w:tcW w:w="1004" w:type="dxa"/>
            <w:tcBorders>
              <w:top w:val="nil"/>
              <w:left w:val="nil"/>
              <w:bottom w:val="nil"/>
              <w:right w:val="nil"/>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5,0</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5,5</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5,9</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2,8</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12,5</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18,3</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18,8</w:t>
            </w:r>
          </w:p>
        </w:tc>
      </w:tr>
      <w:tr w:rsidR="00852294" w:rsidRPr="00B250FB" w:rsidTr="009C5248">
        <w:trPr>
          <w:cantSplit/>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 xml:space="preserve">*011  </w:t>
            </w:r>
          </w:p>
        </w:tc>
        <w:tc>
          <w:tcPr>
            <w:tcW w:w="1004" w:type="dxa"/>
            <w:tcBorders>
              <w:top w:val="nil"/>
              <w:left w:val="nil"/>
              <w:bottom w:val="nil"/>
              <w:right w:val="nil"/>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3,8</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3,2</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2,1</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2,0</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0,5</w:t>
            </w:r>
          </w:p>
        </w:tc>
      </w:tr>
      <w:tr w:rsidR="00852294" w:rsidRPr="00B250FB" w:rsidTr="009C5248">
        <w:trPr>
          <w:cantSplit/>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 xml:space="preserve">*012   </w:t>
            </w:r>
          </w:p>
        </w:tc>
        <w:tc>
          <w:tcPr>
            <w:tcW w:w="1004" w:type="dxa"/>
            <w:tcBorders>
              <w:top w:val="nil"/>
              <w:left w:val="nil"/>
              <w:bottom w:val="nil"/>
              <w:right w:val="nil"/>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2,1</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4,5</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1,6</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1,2</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10,9</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11,1</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1,0</w:t>
            </w:r>
          </w:p>
        </w:tc>
      </w:tr>
      <w:tr w:rsidR="00852294" w:rsidRPr="00B250FB" w:rsidTr="009C5248">
        <w:trPr>
          <w:cantSplit/>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 xml:space="preserve">*016  </w:t>
            </w:r>
          </w:p>
        </w:tc>
        <w:tc>
          <w:tcPr>
            <w:tcW w:w="1004" w:type="dxa"/>
            <w:tcBorders>
              <w:top w:val="nil"/>
              <w:left w:val="nil"/>
              <w:bottom w:val="nil"/>
              <w:right w:val="nil"/>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2,5</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1,4</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3,1</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2,0</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1,0</w:t>
            </w:r>
          </w:p>
        </w:tc>
      </w:tr>
      <w:tr w:rsidR="00852294" w:rsidRPr="00B250FB" w:rsidTr="009C5248">
        <w:trPr>
          <w:cantSplit/>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 xml:space="preserve">*017  </w:t>
            </w:r>
          </w:p>
        </w:tc>
        <w:tc>
          <w:tcPr>
            <w:tcW w:w="1004" w:type="dxa"/>
            <w:tcBorders>
              <w:top w:val="nil"/>
              <w:left w:val="nil"/>
              <w:bottom w:val="nil"/>
              <w:right w:val="nil"/>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3,4</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2,7</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3,3</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2,0</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proofErr w:type="spellStart"/>
            <w:r w:rsidRPr="00B250FB">
              <w:rPr>
                <w:rFonts w:ascii="Calibri" w:eastAsia="Times New Roman" w:hAnsi="Calibri" w:cs="Times New Roman"/>
                <w:color w:val="000000"/>
                <w:sz w:val="24"/>
                <w:szCs w:val="24"/>
              </w:rPr>
              <w:t>н</w:t>
            </w:r>
            <w:proofErr w:type="spellEnd"/>
            <w:r w:rsidRPr="00B250FB">
              <w:rPr>
                <w:rFonts w:ascii="Calibri" w:eastAsia="Times New Roman" w:hAnsi="Calibri" w:cs="Times New Roman"/>
                <w:color w:val="000000"/>
                <w:sz w:val="24"/>
                <w:szCs w:val="24"/>
              </w:rPr>
              <w:t>/о</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1,9</w:t>
            </w:r>
          </w:p>
        </w:tc>
      </w:tr>
      <w:tr w:rsidR="00852294" w:rsidRPr="00B250FB" w:rsidTr="009C5248">
        <w:trPr>
          <w:cantSplit/>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 xml:space="preserve">*018   </w:t>
            </w:r>
          </w:p>
        </w:tc>
        <w:tc>
          <w:tcPr>
            <w:tcW w:w="1004" w:type="dxa"/>
            <w:tcBorders>
              <w:top w:val="nil"/>
              <w:left w:val="nil"/>
              <w:bottom w:val="nil"/>
              <w:right w:val="nil"/>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5,5</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2,7</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4,6</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6,9</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proofErr w:type="spellStart"/>
            <w:r w:rsidRPr="00B250FB">
              <w:rPr>
                <w:rFonts w:ascii="Calibri" w:eastAsia="Times New Roman" w:hAnsi="Calibri" w:cs="Times New Roman"/>
                <w:color w:val="000000"/>
                <w:sz w:val="24"/>
                <w:szCs w:val="24"/>
              </w:rPr>
              <w:t>н</w:t>
            </w:r>
            <w:proofErr w:type="spellEnd"/>
            <w:r w:rsidRPr="00B250FB">
              <w:rPr>
                <w:rFonts w:ascii="Calibri" w:eastAsia="Times New Roman" w:hAnsi="Calibri" w:cs="Times New Roman"/>
                <w:color w:val="000000"/>
                <w:sz w:val="24"/>
                <w:szCs w:val="24"/>
              </w:rPr>
              <w:t>/о</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0,5</w:t>
            </w:r>
          </w:p>
        </w:tc>
      </w:tr>
      <w:tr w:rsidR="00852294" w:rsidRPr="00B250FB" w:rsidTr="009C5248">
        <w:trPr>
          <w:cantSplit/>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 xml:space="preserve">*019  </w:t>
            </w:r>
          </w:p>
        </w:tc>
        <w:tc>
          <w:tcPr>
            <w:tcW w:w="1004" w:type="dxa"/>
            <w:tcBorders>
              <w:top w:val="nil"/>
              <w:left w:val="nil"/>
              <w:bottom w:val="nil"/>
              <w:right w:val="nil"/>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0,4</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1,8</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0,3</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2,0</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proofErr w:type="spellStart"/>
            <w:r w:rsidRPr="00B250FB">
              <w:rPr>
                <w:rFonts w:ascii="Calibri" w:eastAsia="Times New Roman" w:hAnsi="Calibri" w:cs="Times New Roman"/>
                <w:color w:val="000000"/>
                <w:sz w:val="24"/>
                <w:szCs w:val="24"/>
              </w:rPr>
              <w:t>н</w:t>
            </w:r>
            <w:proofErr w:type="spellEnd"/>
            <w:r w:rsidRPr="00B250FB">
              <w:rPr>
                <w:rFonts w:ascii="Calibri" w:eastAsia="Times New Roman" w:hAnsi="Calibri" w:cs="Times New Roman"/>
                <w:color w:val="000000"/>
                <w:sz w:val="24"/>
                <w:szCs w:val="24"/>
              </w:rPr>
              <w:t>/о</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3,9</w:t>
            </w:r>
          </w:p>
        </w:tc>
      </w:tr>
      <w:tr w:rsidR="00852294" w:rsidRPr="00B250FB" w:rsidTr="009C5248">
        <w:trPr>
          <w:cantSplit/>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 xml:space="preserve">*027   </w:t>
            </w:r>
          </w:p>
        </w:tc>
        <w:tc>
          <w:tcPr>
            <w:tcW w:w="1004" w:type="dxa"/>
            <w:tcBorders>
              <w:top w:val="nil"/>
              <w:left w:val="nil"/>
              <w:bottom w:val="nil"/>
              <w:right w:val="nil"/>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1,3</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1,8</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1,5</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0,8</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proofErr w:type="spellStart"/>
            <w:r w:rsidRPr="00B250FB">
              <w:rPr>
                <w:rFonts w:ascii="Calibri" w:eastAsia="Times New Roman" w:hAnsi="Calibri" w:cs="Times New Roman"/>
                <w:color w:val="000000"/>
                <w:sz w:val="24"/>
                <w:szCs w:val="24"/>
              </w:rPr>
              <w:t>н</w:t>
            </w:r>
            <w:proofErr w:type="spellEnd"/>
            <w:r w:rsidRPr="00B250FB">
              <w:rPr>
                <w:rFonts w:ascii="Calibri" w:eastAsia="Times New Roman" w:hAnsi="Calibri" w:cs="Times New Roman"/>
                <w:color w:val="000000"/>
                <w:sz w:val="24"/>
                <w:szCs w:val="24"/>
              </w:rPr>
              <w:t>/о</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13,6</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5,3</w:t>
            </w:r>
          </w:p>
        </w:tc>
      </w:tr>
      <w:tr w:rsidR="00852294" w:rsidRPr="00B250FB" w:rsidTr="009C5248">
        <w:trPr>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*029</w:t>
            </w:r>
          </w:p>
        </w:tc>
        <w:tc>
          <w:tcPr>
            <w:tcW w:w="100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0,2</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proofErr w:type="spellStart"/>
            <w:r w:rsidRPr="00B250FB">
              <w:rPr>
                <w:rFonts w:ascii="Calibri" w:eastAsia="Times New Roman" w:hAnsi="Calibri" w:cs="Times New Roman"/>
                <w:color w:val="000000"/>
                <w:sz w:val="24"/>
                <w:szCs w:val="24"/>
              </w:rPr>
              <w:t>н</w:t>
            </w:r>
            <w:proofErr w:type="spellEnd"/>
            <w:r w:rsidRPr="00B250FB">
              <w:rPr>
                <w:rFonts w:ascii="Calibri" w:eastAsia="Times New Roman" w:hAnsi="Calibri" w:cs="Times New Roman"/>
                <w:color w:val="000000"/>
                <w:sz w:val="24"/>
                <w:szCs w:val="24"/>
              </w:rPr>
              <w:t>/о</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r>
      <w:tr w:rsidR="00852294" w:rsidRPr="00B250FB" w:rsidTr="009C5248">
        <w:trPr>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*033</w:t>
            </w:r>
          </w:p>
        </w:tc>
        <w:tc>
          <w:tcPr>
            <w:tcW w:w="100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proofErr w:type="spellStart"/>
            <w:r w:rsidRPr="00B250FB">
              <w:rPr>
                <w:rFonts w:ascii="Calibri" w:eastAsia="Times New Roman" w:hAnsi="Calibri" w:cs="Times New Roman"/>
                <w:color w:val="000000"/>
                <w:sz w:val="24"/>
                <w:szCs w:val="24"/>
              </w:rPr>
              <w:t>н</w:t>
            </w:r>
            <w:proofErr w:type="spellEnd"/>
            <w:r w:rsidRPr="00B250FB">
              <w:rPr>
                <w:rFonts w:ascii="Calibri" w:eastAsia="Times New Roman" w:hAnsi="Calibri" w:cs="Times New Roman"/>
                <w:color w:val="000000"/>
                <w:sz w:val="24"/>
                <w:szCs w:val="24"/>
              </w:rPr>
              <w:t>/о</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0,5</w:t>
            </w:r>
          </w:p>
        </w:tc>
      </w:tr>
      <w:tr w:rsidR="00852294" w:rsidRPr="00B250FB" w:rsidTr="009C5248">
        <w:trPr>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*045</w:t>
            </w:r>
          </w:p>
        </w:tc>
        <w:tc>
          <w:tcPr>
            <w:tcW w:w="100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proofErr w:type="spellStart"/>
            <w:r w:rsidRPr="00B250FB">
              <w:rPr>
                <w:rFonts w:ascii="Calibri" w:eastAsia="Times New Roman" w:hAnsi="Calibri" w:cs="Times New Roman"/>
                <w:color w:val="000000"/>
                <w:sz w:val="24"/>
                <w:szCs w:val="24"/>
              </w:rPr>
              <w:t>н</w:t>
            </w:r>
            <w:proofErr w:type="spellEnd"/>
            <w:r w:rsidRPr="00B250FB">
              <w:rPr>
                <w:rFonts w:ascii="Calibri" w:eastAsia="Times New Roman" w:hAnsi="Calibri" w:cs="Times New Roman"/>
                <w:color w:val="000000"/>
                <w:sz w:val="24"/>
                <w:szCs w:val="24"/>
              </w:rPr>
              <w:t>/о</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8,2</w:t>
            </w:r>
          </w:p>
        </w:tc>
      </w:tr>
      <w:tr w:rsidR="00852294" w:rsidRPr="00B250FB" w:rsidTr="009C5248">
        <w:trPr>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*051</w:t>
            </w:r>
          </w:p>
        </w:tc>
        <w:tc>
          <w:tcPr>
            <w:tcW w:w="100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2,3</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proofErr w:type="spellStart"/>
            <w:r w:rsidRPr="00B250FB">
              <w:rPr>
                <w:rFonts w:ascii="Calibri" w:eastAsia="Times New Roman" w:hAnsi="Calibri" w:cs="Times New Roman"/>
                <w:color w:val="000000"/>
                <w:sz w:val="24"/>
                <w:szCs w:val="24"/>
              </w:rPr>
              <w:t>н</w:t>
            </w:r>
            <w:proofErr w:type="spellEnd"/>
            <w:r w:rsidRPr="00B250FB">
              <w:rPr>
                <w:rFonts w:ascii="Calibri" w:eastAsia="Times New Roman" w:hAnsi="Calibri" w:cs="Times New Roman"/>
                <w:color w:val="000000"/>
                <w:sz w:val="24"/>
                <w:szCs w:val="24"/>
              </w:rPr>
              <w:t>/о</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r>
      <w:tr w:rsidR="00852294" w:rsidRPr="00B250FB" w:rsidTr="009C5248">
        <w:trPr>
          <w:cantSplit/>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 xml:space="preserve">*053   </w:t>
            </w:r>
          </w:p>
        </w:tc>
        <w:tc>
          <w:tcPr>
            <w:tcW w:w="1004" w:type="dxa"/>
            <w:tcBorders>
              <w:top w:val="nil"/>
              <w:left w:val="nil"/>
              <w:bottom w:val="nil"/>
              <w:right w:val="nil"/>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0,8</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proofErr w:type="spellStart"/>
            <w:r w:rsidRPr="00B250FB">
              <w:rPr>
                <w:rFonts w:ascii="Calibri" w:eastAsia="Times New Roman" w:hAnsi="Calibri" w:cs="Times New Roman"/>
                <w:color w:val="000000"/>
                <w:sz w:val="24"/>
                <w:szCs w:val="24"/>
              </w:rPr>
              <w:t>н</w:t>
            </w:r>
            <w:proofErr w:type="spellEnd"/>
            <w:r w:rsidRPr="00B250FB">
              <w:rPr>
                <w:rFonts w:ascii="Calibri" w:eastAsia="Times New Roman" w:hAnsi="Calibri" w:cs="Times New Roman"/>
                <w:color w:val="000000"/>
                <w:sz w:val="24"/>
                <w:szCs w:val="24"/>
              </w:rPr>
              <w:t>/о</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r>
      <w:tr w:rsidR="00852294" w:rsidRPr="00B250FB" w:rsidTr="009C5248">
        <w:trPr>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*057</w:t>
            </w:r>
          </w:p>
        </w:tc>
        <w:tc>
          <w:tcPr>
            <w:tcW w:w="100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0,4</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proofErr w:type="spellStart"/>
            <w:r w:rsidRPr="00B250FB">
              <w:rPr>
                <w:rFonts w:ascii="Calibri" w:eastAsia="Times New Roman" w:hAnsi="Calibri" w:cs="Times New Roman"/>
                <w:color w:val="000000"/>
                <w:sz w:val="24"/>
                <w:szCs w:val="24"/>
              </w:rPr>
              <w:t>н</w:t>
            </w:r>
            <w:proofErr w:type="spellEnd"/>
            <w:r w:rsidRPr="00B250FB">
              <w:rPr>
                <w:rFonts w:ascii="Calibri" w:eastAsia="Times New Roman" w:hAnsi="Calibri" w:cs="Times New Roman"/>
                <w:color w:val="000000"/>
                <w:sz w:val="24"/>
                <w:szCs w:val="24"/>
              </w:rPr>
              <w:t>/о</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proofErr w:type="spellStart"/>
            <w:r w:rsidRPr="00B250FB">
              <w:rPr>
                <w:rFonts w:ascii="Calibri" w:eastAsia="Times New Roman" w:hAnsi="Calibri" w:cs="Times New Roman"/>
                <w:color w:val="000000"/>
                <w:sz w:val="24"/>
                <w:szCs w:val="24"/>
              </w:rPr>
              <w:t>н</w:t>
            </w:r>
            <w:proofErr w:type="spellEnd"/>
            <w:r w:rsidRPr="00B250FB">
              <w:rPr>
                <w:rFonts w:ascii="Calibri" w:eastAsia="Times New Roman" w:hAnsi="Calibri" w:cs="Times New Roman"/>
                <w:color w:val="000000"/>
                <w:sz w:val="24"/>
                <w:szCs w:val="24"/>
              </w:rPr>
              <w:t>/о</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r>
      <w:tr w:rsidR="00852294" w:rsidRPr="00B250FB" w:rsidTr="009C5248">
        <w:trPr>
          <w:trHeight w:val="339"/>
        </w:trPr>
        <w:tc>
          <w:tcPr>
            <w:tcW w:w="1219" w:type="dxa"/>
            <w:tcBorders>
              <w:top w:val="nil"/>
              <w:left w:val="single" w:sz="4" w:space="0" w:color="auto"/>
              <w:bottom w:val="nil"/>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*067</w:t>
            </w:r>
          </w:p>
        </w:tc>
        <w:tc>
          <w:tcPr>
            <w:tcW w:w="100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214"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044"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0,2</w:t>
            </w:r>
          </w:p>
        </w:tc>
        <w:tc>
          <w:tcPr>
            <w:tcW w:w="117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092" w:type="dxa"/>
            <w:tcBorders>
              <w:top w:val="nil"/>
              <w:left w:val="nil"/>
              <w:bottom w:val="nil"/>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proofErr w:type="spellStart"/>
            <w:r w:rsidRPr="00B250FB">
              <w:rPr>
                <w:rFonts w:ascii="Calibri" w:eastAsia="Times New Roman" w:hAnsi="Calibri" w:cs="Times New Roman"/>
                <w:color w:val="000000"/>
                <w:sz w:val="24"/>
                <w:szCs w:val="24"/>
              </w:rPr>
              <w:t>н</w:t>
            </w:r>
            <w:proofErr w:type="spellEnd"/>
            <w:r w:rsidRPr="00B250FB">
              <w:rPr>
                <w:rFonts w:ascii="Calibri" w:eastAsia="Times New Roman" w:hAnsi="Calibri" w:cs="Times New Roman"/>
                <w:color w:val="000000"/>
                <w:sz w:val="24"/>
                <w:szCs w:val="24"/>
              </w:rPr>
              <w:t>/о</w:t>
            </w:r>
          </w:p>
        </w:tc>
        <w:tc>
          <w:tcPr>
            <w:tcW w:w="1188" w:type="dxa"/>
            <w:tcBorders>
              <w:top w:val="nil"/>
              <w:left w:val="single" w:sz="4" w:space="0" w:color="auto"/>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proofErr w:type="spellStart"/>
            <w:r w:rsidRPr="00B250FB">
              <w:rPr>
                <w:rFonts w:ascii="Calibri" w:eastAsia="Times New Roman" w:hAnsi="Calibri" w:cs="Times New Roman"/>
                <w:color w:val="000000"/>
                <w:sz w:val="24"/>
                <w:szCs w:val="24"/>
              </w:rPr>
              <w:t>н</w:t>
            </w:r>
            <w:proofErr w:type="spellEnd"/>
            <w:r w:rsidRPr="00B250FB">
              <w:rPr>
                <w:rFonts w:ascii="Calibri" w:eastAsia="Times New Roman" w:hAnsi="Calibri" w:cs="Times New Roman"/>
                <w:color w:val="000000"/>
                <w:sz w:val="24"/>
                <w:szCs w:val="24"/>
              </w:rPr>
              <w:t>/о</w:t>
            </w:r>
          </w:p>
        </w:tc>
        <w:tc>
          <w:tcPr>
            <w:tcW w:w="2008" w:type="dxa"/>
            <w:tcBorders>
              <w:top w:val="nil"/>
              <w:left w:val="nil"/>
              <w:bottom w:val="nil"/>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r>
      <w:tr w:rsidR="00852294" w:rsidRPr="00B250FB" w:rsidTr="009C5248">
        <w:trPr>
          <w:cantSplit/>
          <w:trHeight w:val="339"/>
        </w:trPr>
        <w:tc>
          <w:tcPr>
            <w:tcW w:w="1219" w:type="dxa"/>
            <w:tcBorders>
              <w:top w:val="nil"/>
              <w:left w:val="single" w:sz="4" w:space="0" w:color="auto"/>
              <w:bottom w:val="single" w:sz="4" w:space="0" w:color="auto"/>
              <w:right w:val="single" w:sz="4" w:space="0" w:color="auto"/>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 xml:space="preserve">*068 </w:t>
            </w:r>
          </w:p>
        </w:tc>
        <w:tc>
          <w:tcPr>
            <w:tcW w:w="1004" w:type="dxa"/>
            <w:tcBorders>
              <w:top w:val="nil"/>
              <w:left w:val="nil"/>
              <w:bottom w:val="single" w:sz="4" w:space="0" w:color="auto"/>
              <w:right w:val="nil"/>
            </w:tcBorders>
            <w:shd w:val="clear" w:color="auto" w:fill="auto"/>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r w:rsidRPr="00B250FB">
              <w:rPr>
                <w:rFonts w:ascii="Times New Roman" w:eastAsia="Times New Roman" w:hAnsi="Times New Roman" w:cs="Times New Roman"/>
                <w:color w:val="000000"/>
                <w:sz w:val="24"/>
                <w:szCs w:val="24"/>
              </w:rPr>
              <w:t>0,4</w:t>
            </w:r>
          </w:p>
        </w:tc>
        <w:tc>
          <w:tcPr>
            <w:tcW w:w="1214" w:type="dxa"/>
            <w:tcBorders>
              <w:top w:val="nil"/>
              <w:left w:val="single" w:sz="4" w:space="0" w:color="auto"/>
              <w:bottom w:val="single" w:sz="4" w:space="0" w:color="auto"/>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044" w:type="dxa"/>
            <w:tcBorders>
              <w:top w:val="nil"/>
              <w:left w:val="nil"/>
              <w:bottom w:val="single" w:sz="4" w:space="0" w:color="auto"/>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0,2</w:t>
            </w: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c>
          <w:tcPr>
            <w:tcW w:w="1092" w:type="dxa"/>
            <w:tcBorders>
              <w:top w:val="nil"/>
              <w:left w:val="nil"/>
              <w:bottom w:val="single" w:sz="4" w:space="0" w:color="auto"/>
              <w:right w:val="nil"/>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proofErr w:type="spellStart"/>
            <w:r w:rsidRPr="00B250FB">
              <w:rPr>
                <w:rFonts w:ascii="Calibri" w:eastAsia="Times New Roman" w:hAnsi="Calibri" w:cs="Times New Roman"/>
                <w:color w:val="000000"/>
                <w:sz w:val="24"/>
                <w:szCs w:val="24"/>
              </w:rPr>
              <w:t>н</w:t>
            </w:r>
            <w:proofErr w:type="spellEnd"/>
            <w:r w:rsidRPr="00B250FB">
              <w:rPr>
                <w:rFonts w:ascii="Calibri" w:eastAsia="Times New Roman" w:hAnsi="Calibri" w:cs="Times New Roman"/>
                <w:color w:val="000000"/>
                <w:sz w:val="24"/>
                <w:szCs w:val="24"/>
              </w:rPr>
              <w:t>/о</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proofErr w:type="spellStart"/>
            <w:r w:rsidRPr="00B250FB">
              <w:rPr>
                <w:rFonts w:ascii="Calibri" w:eastAsia="Times New Roman" w:hAnsi="Calibri" w:cs="Times New Roman"/>
                <w:color w:val="000000"/>
                <w:sz w:val="24"/>
                <w:szCs w:val="24"/>
              </w:rPr>
              <w:t>н</w:t>
            </w:r>
            <w:proofErr w:type="spellEnd"/>
            <w:r w:rsidRPr="00B250FB">
              <w:rPr>
                <w:rFonts w:ascii="Calibri" w:eastAsia="Times New Roman" w:hAnsi="Calibri" w:cs="Times New Roman"/>
                <w:color w:val="000000"/>
                <w:sz w:val="24"/>
                <w:szCs w:val="24"/>
              </w:rPr>
              <w:t>/о</w:t>
            </w:r>
          </w:p>
        </w:tc>
        <w:tc>
          <w:tcPr>
            <w:tcW w:w="2008" w:type="dxa"/>
            <w:tcBorders>
              <w:top w:val="nil"/>
              <w:left w:val="nil"/>
              <w:bottom w:val="single" w:sz="4" w:space="0" w:color="auto"/>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Calibri" w:eastAsia="Times New Roman" w:hAnsi="Calibri" w:cs="Times New Roman"/>
                <w:color w:val="000000"/>
                <w:sz w:val="24"/>
                <w:szCs w:val="24"/>
              </w:rPr>
            </w:pPr>
            <w:r w:rsidRPr="00B250FB">
              <w:rPr>
                <w:rFonts w:ascii="Calibri" w:eastAsia="Times New Roman" w:hAnsi="Calibri" w:cs="Times New Roman"/>
                <w:color w:val="000000"/>
                <w:sz w:val="24"/>
                <w:szCs w:val="24"/>
              </w:rPr>
              <w:t>-</w:t>
            </w:r>
          </w:p>
        </w:tc>
      </w:tr>
      <w:tr w:rsidR="00852294" w:rsidRPr="00B250FB" w:rsidTr="009C5248">
        <w:trPr>
          <w:trHeight w:val="339"/>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rsidR="00852294" w:rsidRPr="00B250FB" w:rsidRDefault="00852294" w:rsidP="009C5248">
            <w:pPr>
              <w:spacing w:after="0" w:line="240" w:lineRule="auto"/>
              <w:ind w:left="-284"/>
              <w:jc w:val="center"/>
              <w:rPr>
                <w:rFonts w:ascii="Times New Roman" w:eastAsia="Times New Roman" w:hAnsi="Times New Roman" w:cs="Times New Roman"/>
                <w:color w:val="000000"/>
                <w:sz w:val="24"/>
                <w:szCs w:val="24"/>
              </w:rPr>
            </w:pPr>
            <w:proofErr w:type="spellStart"/>
            <w:r w:rsidRPr="00B250FB">
              <w:rPr>
                <w:rFonts w:ascii="Times New Roman" w:eastAsia="Times New Roman" w:hAnsi="Times New Roman" w:cs="Times New Roman"/>
                <w:color w:val="000000"/>
                <w:sz w:val="24"/>
                <w:szCs w:val="24"/>
              </w:rPr>
              <w:t>Ref</w:t>
            </w:r>
            <w:proofErr w:type="spellEnd"/>
            <w:r w:rsidRPr="00B250FB">
              <w:rPr>
                <w:rFonts w:ascii="Times New Roman" w:eastAsia="Times New Roman" w:hAnsi="Times New Roman" w:cs="Times New Roman"/>
                <w:color w:val="000000"/>
                <w:sz w:val="24"/>
                <w:szCs w:val="24"/>
              </w:rPr>
              <w:t>.</w:t>
            </w:r>
          </w:p>
        </w:tc>
        <w:tc>
          <w:tcPr>
            <w:tcW w:w="1004" w:type="dxa"/>
            <w:tcBorders>
              <w:top w:val="nil"/>
              <w:left w:val="nil"/>
              <w:bottom w:val="single" w:sz="4" w:space="0" w:color="auto"/>
              <w:right w:val="single" w:sz="4" w:space="0" w:color="auto"/>
            </w:tcBorders>
            <w:shd w:val="clear" w:color="auto" w:fill="auto"/>
            <w:noWrap/>
            <w:vAlign w:val="bottom"/>
            <w:hideMark/>
          </w:tcPr>
          <w:p w:rsidR="00852294" w:rsidRPr="00B250FB" w:rsidRDefault="00852294" w:rsidP="009C5248">
            <w:pPr>
              <w:spacing w:after="0" w:line="240" w:lineRule="auto"/>
              <w:ind w:left="-284"/>
              <w:jc w:val="right"/>
              <w:rPr>
                <w:rFonts w:ascii="Calibri" w:eastAsia="Times New Roman" w:hAnsi="Calibri" w:cs="Times New Roman"/>
                <w:color w:val="000000"/>
                <w:sz w:val="24"/>
                <w:szCs w:val="24"/>
              </w:rPr>
            </w:pPr>
          </w:p>
        </w:tc>
        <w:tc>
          <w:tcPr>
            <w:tcW w:w="1214" w:type="dxa"/>
            <w:tcBorders>
              <w:top w:val="nil"/>
              <w:left w:val="nil"/>
              <w:bottom w:val="single" w:sz="4" w:space="0" w:color="auto"/>
              <w:right w:val="single" w:sz="4" w:space="0" w:color="auto"/>
            </w:tcBorders>
            <w:shd w:val="clear" w:color="auto" w:fill="auto"/>
            <w:noWrap/>
            <w:vAlign w:val="center"/>
            <w:hideMark/>
          </w:tcPr>
          <w:p w:rsidR="00852294" w:rsidRPr="00B250FB" w:rsidRDefault="002C5240" w:rsidP="009C5248">
            <w:pPr>
              <w:spacing w:after="0" w:line="240" w:lineRule="auto"/>
              <w:ind w:left="-284"/>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fldChar w:fldCharType="begin" w:fldLock="1"/>
            </w:r>
            <w:r w:rsidR="00852294">
              <w:rPr>
                <w:rFonts w:ascii="Calibri" w:eastAsia="Times New Roman" w:hAnsi="Calibri" w:cs="Times New Roman"/>
                <w:color w:val="000000"/>
                <w:sz w:val="24"/>
                <w:szCs w:val="24"/>
              </w:rPr>
              <w:instrText>ADDIN CSL_CITATION {"citationItems":[{"id":"ITEM-1","itemData":{"DOI":"10.1111/j.1399-0039.2010.01601.x","ISBN":"0001-2815","ISSN":"00012815","PMID":"21299524","abstract":"The polymorphic MICA (major histocompatibility complex class I chain-related gene A) (Gene ID: 100507436) gene products are a ligand of the activating natural killer cell receptor, NKG2D. Their clinical importance spans from solid organ transplantation to bone marrow transplantation and disease susceptibility. Typing of MICA genes by sequencing is hampered by an exon 5 short tandem repeat, the definition of which is critical for the final allelic and functional assignment. We present a novel sequencing approach, which uses group-specific (7T/8T) exon 5 polymerase chain reactions (PCRs) and facilitates hemizygous exon 5 MICA-PCR in approximately 70% of the tested individuals. With this method we typed the International Histocompatibility Workshop Group MICA reference panel (40 cell lines) as well as 110 healthy South German blood donors. All ambiguities, with the exception of MICA*008:01/008:04 (synonymous substitution in exon 1) and MICA*009:01/049 (nonsynonymous substitution in exon 6), could be resolved with our method. Analysis of Hardy-Weinberg equilibrium for our cohort showed no significant difference between expected and observed frequencies of MICA alleles (P = 0.6142). The three most frequent alleles in our blood donor cohort were MICA*008:01/008:04 (40.5%), MICA*002:01 (13.2%), and MICA*009:01/049 (8.6%). The 7T polymorphism was observed in 67.7% and the 8T polymorphism in 32.3% of our blood donor cohort. Individuals (24.5%) tested were homozygous. The approach described in this paper is suitable for accurate sequencing of large sample numbers, including direct readout of exon 5 sequences. It is compatible with laboratory automation and commercial human leukocyte antigen analysis software tools. It may therefore be applied in large clinical trials.","author":[{"dropping-particle":"","family":"Fürst","given":"D.","non-dropping-particle":"","parse-names":false,"suffix":""},{"dropping-particle":"","family":"Solgi","given":"G.","non-dropping-particle":"","parse-names":false,"suffix":""},{"dropping-particle":"","family":"Recker","given":"K.","non-dropping-particle":"","parse-names":false,"suffix":""},{"dropping-particle":"","family":"Mytilineos","given":"D.","non-dropping-particle":"","parse-names":false,"suffix":""},{"dropping-particle":"","family":"Schrezenmeier","given":"H.","non-dropping-particle":"","parse-names":false,"suffix":""},{"dropping-particle":"","family":"Mytilineos","given":"J.","non-dropping-particle":"","parse-names":false,"suffix":""}],"container-title":"Tissue Antigens","id":"ITEM-1","issue":"3","issued":{"date-parts":[["2011"]]},"page":"201-205","title":"Sequence-based typing of major histocompatibility complex class I chain-related gene A alleles by use of exons 2-5 information","type":"article-journal","volume":"77"},"uris":["http://www.mendeley.com/documents/?uuid=20087044-42a5-4177-b933-f08c22078056"]}],"mendeley":{"formattedCitation":"[6]","plainTextFormattedCitation":"[6]","previouslyFormattedCitation":"[6]"},"properties":{"noteIndex":0},"schema":"https://github.com/citation-style-language/schema/raw/master/csl-citation.json"}</w:instrText>
            </w:r>
            <w:r>
              <w:rPr>
                <w:rFonts w:ascii="Calibri" w:eastAsia="Times New Roman" w:hAnsi="Calibri" w:cs="Times New Roman"/>
                <w:color w:val="000000"/>
                <w:sz w:val="24"/>
                <w:szCs w:val="24"/>
              </w:rPr>
              <w:fldChar w:fldCharType="separate"/>
            </w:r>
            <w:r w:rsidR="00852294" w:rsidRPr="00B250FB">
              <w:rPr>
                <w:rFonts w:ascii="Calibri" w:eastAsia="Times New Roman" w:hAnsi="Calibri" w:cs="Times New Roman"/>
                <w:noProof/>
                <w:color w:val="000000"/>
                <w:sz w:val="24"/>
                <w:szCs w:val="24"/>
              </w:rPr>
              <w:t>[6]</w:t>
            </w:r>
            <w:r>
              <w:rPr>
                <w:rFonts w:ascii="Calibri" w:eastAsia="Times New Roman" w:hAnsi="Calibri" w:cs="Times New Roman"/>
                <w:color w:val="000000"/>
                <w:sz w:val="24"/>
                <w:szCs w:val="24"/>
              </w:rPr>
              <w:fldChar w:fldCharType="end"/>
            </w:r>
          </w:p>
        </w:tc>
        <w:tc>
          <w:tcPr>
            <w:tcW w:w="1044" w:type="dxa"/>
            <w:tcBorders>
              <w:top w:val="nil"/>
              <w:left w:val="nil"/>
              <w:bottom w:val="single" w:sz="4" w:space="0" w:color="auto"/>
              <w:right w:val="single" w:sz="4" w:space="0" w:color="auto"/>
            </w:tcBorders>
            <w:shd w:val="clear" w:color="auto" w:fill="auto"/>
            <w:noWrap/>
            <w:vAlign w:val="center"/>
            <w:hideMark/>
          </w:tcPr>
          <w:p w:rsidR="00852294" w:rsidRPr="00B250FB" w:rsidRDefault="002C5240" w:rsidP="009C5248">
            <w:pPr>
              <w:spacing w:after="0" w:line="240" w:lineRule="auto"/>
              <w:ind w:left="-284"/>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fldChar w:fldCharType="begin" w:fldLock="1"/>
            </w:r>
            <w:r w:rsidR="00852294">
              <w:rPr>
                <w:rFonts w:ascii="Calibri" w:eastAsia="Times New Roman" w:hAnsi="Calibri" w:cs="Times New Roman"/>
                <w:color w:val="000000"/>
                <w:sz w:val="24"/>
                <w:szCs w:val="24"/>
              </w:rPr>
              <w:instrText>ADDIN CSL_CITATION {"citationItems":[{"id":"ITEM-1","itemData":{"DOI":"10.1016/j.humimm.2013.06.013","ISSN":"01988859","PMID":"23777932","abstract":"The Major Histocompatibility Complex Class I Chain-Related Gene A (MICA) is located 46.4Kb centromeric to HLA-B locus on chromosome 6; 84 alleles have been described so far. To assess the distribution of MICA alleles in an Austrian population, 322 unrelated Austrian blood donors have been typed for MICA by direct sequencing of amplified exons 2-5; sequencing of exon 6 and separating alleles by haplotype specific primers or by cloning was performed to resolve ambiguities. HLA-B was typed at low level resolution and linkage disequilibrium was determined. We observed 20 already known and four novel MICA alleles. MICA*008:01/04 was the most frequent allele (42%), followed by MICA*002:01 (11%) and MICA*009:01 (9%), three alleles (MICA*029,*067 and*068) were observed only once. No deviation from the Hardy Weinberg equilibrium was observed. Linkage disequilibrium between MICA and HLA-B alleles was observed, most extensively between MICA*008:01/04 and HLA-B*07. Our population data are in agreement with other European populations. The fact that four novel alleles have been observed indicates that the polymorphism of MICA is larger than currently estimated. © 2013 American Society for Histocompatibility and Immunogenetics.","author":[{"dropping-particle":"","family":"Wenda","given":"Sabine","non-dropping-particle":"","parse-names":false,"suffix":""},{"dropping-particle":"","family":"Faé","given":"Ingrid","non-dropping-particle":"","parse-names":false,"suffix":""},{"dropping-particle":"","family":"Sanchez-Mazas","given":"Alicia","non-dropping-particle":"","parse-names":false,"suffix":""},{"dropping-particle":"","family":"Nunes","given":"José M.","non-dropping-particle":"","parse-names":false,"suffix":""},{"dropping-particle":"","family":"Mayr","given":"Wolfgang R.","non-dropping-particle":"","parse-names":false,"suffix":""},{"dropping-particle":"","family":"Fischer","given":"Gottfried F.","non-dropping-particle":"","parse-names":false,"suffix":""}],"container-title":"Human Immunology","id":"ITEM-1","issue":"10","issued":{"date-parts":[["2013"]]},"page":"1295-1299","publisher":"American Society for Histocompatibility and Immunogenetics","title":"The distribution of MICA alleles in an Austrian population: Evidence for increasing polymorphism","type":"article-journal","volume":"74"},"uris":["http://www.mendeley.com/documents/?uuid=4d46e0eb-b6b9-41aa-a971-4f452cef9d9d"]}],"mendeley":{"formattedCitation":"[7]","plainTextFormattedCitation":"[7]","previouslyFormattedCitation":"[7]"},"properties":{"noteIndex":0},"schema":"https://github.com/citation-style-language/schema/raw/master/csl-citation.json"}</w:instrText>
            </w:r>
            <w:r>
              <w:rPr>
                <w:rFonts w:ascii="Calibri" w:eastAsia="Times New Roman" w:hAnsi="Calibri" w:cs="Times New Roman"/>
                <w:color w:val="000000"/>
                <w:sz w:val="24"/>
                <w:szCs w:val="24"/>
              </w:rPr>
              <w:fldChar w:fldCharType="separate"/>
            </w:r>
            <w:r w:rsidR="00852294" w:rsidRPr="00B250FB">
              <w:rPr>
                <w:rFonts w:ascii="Calibri" w:eastAsia="Times New Roman" w:hAnsi="Calibri" w:cs="Times New Roman"/>
                <w:noProof/>
                <w:color w:val="000000"/>
                <w:sz w:val="24"/>
                <w:szCs w:val="24"/>
              </w:rPr>
              <w:t>[7]</w:t>
            </w:r>
            <w:r>
              <w:rPr>
                <w:rFonts w:ascii="Calibri" w:eastAsia="Times New Roman" w:hAnsi="Calibri" w:cs="Times New Roman"/>
                <w:color w:val="000000"/>
                <w:sz w:val="24"/>
                <w:szCs w:val="24"/>
              </w:rPr>
              <w:fldChar w:fldCharType="end"/>
            </w:r>
          </w:p>
        </w:tc>
        <w:tc>
          <w:tcPr>
            <w:tcW w:w="1178" w:type="dxa"/>
            <w:tcBorders>
              <w:top w:val="nil"/>
              <w:left w:val="nil"/>
              <w:bottom w:val="single" w:sz="4" w:space="0" w:color="auto"/>
              <w:right w:val="single" w:sz="4" w:space="0" w:color="auto"/>
            </w:tcBorders>
            <w:shd w:val="clear" w:color="auto" w:fill="auto"/>
            <w:noWrap/>
            <w:vAlign w:val="center"/>
            <w:hideMark/>
          </w:tcPr>
          <w:p w:rsidR="00852294" w:rsidRPr="00B250FB" w:rsidRDefault="002C5240" w:rsidP="009C5248">
            <w:pPr>
              <w:spacing w:after="0" w:line="240" w:lineRule="auto"/>
              <w:ind w:left="-284"/>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fldChar w:fldCharType="begin" w:fldLock="1"/>
            </w:r>
            <w:r w:rsidR="00852294">
              <w:rPr>
                <w:rFonts w:ascii="Calibri" w:eastAsia="Times New Roman" w:hAnsi="Calibri" w:cs="Times New Roman"/>
                <w:color w:val="000000"/>
                <w:sz w:val="24"/>
                <w:szCs w:val="24"/>
              </w:rPr>
              <w:instrText>ADDIN CSL_CITATION {"citationItems":[{"id":"ITEM-1","itemData":{"DOI":"10.3109/03014460.2011.572563","ISSN":"03014460","PMID":"21506888","abstract":"BACKGROUND: The function of the MHC class I polypeptide-related sequence A (MICA) gene, which belongs to the MHC class I chain-related genes, is to trigger cytolysis of target cells mediated by NKG2D receptor recognition in NK (Natural Killer) cells and CD8 T-lymphocytes. The MICA gene has a high degree of polymorphism, especially observed in exons 2-5. MICA allelic diversity has been reported in association with some autoimmune diseases such Behcet's disease, psoriasis and diabetes, as well as with organ rejections. AIM: The aim of this study was to analyse MICA gene polymorphism in the Slovak population, to establish frequencies of MICA alleles and to compare the results with those found in other Western Eurasian populations. No such study has been performed previously in the Slovak population. SUBJECTS AND METHODS: This study examined DNA samples from 124 unrelated Slovak individuals (51 women and 73 men with an average age of 40.3 years) using direct sequencing of MICA exons 2-5. Allele and genotype frequencies were calculated by direct counting and statistical analysis was carried out using Arlequin software. RESULTS: This study identified 15 out of 71 MICA alleles. The most frequent allele was MICA(*)008 (37.1%) followed by alleles MICA(*)002 (16.5%) and MICA(*)009 (11.3%). The rarest alleles were MICA(*)027, MICA(*)006 (both 0.8%) and MICA(*)057 (0.4%), respectively. The most frequent genotypes were 008/008 and 008/002, both with a frequency of 13.7%. Exon 5 microsatellite polymorphism screening revealed five MICA alleles, namely A4, A5, A5.1, A6 and A9. The most frequent was allele A5.1 (37.1%) and the rarest A5 (8.1%). Finally it was found that haplotype MICA*008 A5.1 was the most frequent (37.1%). CONCLUSION: A comparison of these results with those reported in the literature revealed similarity in MICA polymorphism to that found in other Western Eurasian populations. The data will be useful for further association studies on MICA polymorphism and its function.","author":[{"dropping-particle":"","family":"Ďurmanová","given":"V.","non-dropping-particle":"","parse-names":false,"suffix":""},{"dropping-particle":"","family":"Tirpakova","given":"J.","non-dropping-particle":"","parse-names":false,"suffix":""},{"dropping-particle":"","family":"Stuchlikova","given":"M.","non-dropping-particle":"","parse-names":false,"suffix":""},{"dropping-particle":"","family":"Shawkatova","given":"I.","non-dropping-particle":"","parse-names":false,"suffix":""},{"dropping-particle":"","family":"Kuba","given":"D.","non-dropping-particle":"","parse-names":false,"suffix":""},{"dropping-particle":"","family":"Sapak","given":"M.","non-dropping-particle":"","parse-names":false,"suffix":""},{"dropping-particle":"","family":"Buc","given":"M.","non-dropping-particle":"","parse-names":false,"suffix":""}],"container-title":"Annals of Human Biology","id":"ITEM-1","issue":"5","issued":{"date-parts":[["2011"]]},"page":"570-576","title":"Characterization of MICA gene polymorphism of HLA complex in the Slovak population","type":"article-journal","volume":"38"},"uris":["http://www.mendeley.com/documents/?uuid=0d5b1fa5-30db-461b-ae8e-fb84e6d01df6"]}],"mendeley":{"formattedCitation":"[8]","plainTextFormattedCitation":"[8]","previouslyFormattedCitation":"[8]"},"properties":{"noteIndex":0},"schema":"https://github.com/citation-style-language/schema/raw/master/csl-citation.json"}</w:instrText>
            </w:r>
            <w:r>
              <w:rPr>
                <w:rFonts w:ascii="Calibri" w:eastAsia="Times New Roman" w:hAnsi="Calibri" w:cs="Times New Roman"/>
                <w:color w:val="000000"/>
                <w:sz w:val="24"/>
                <w:szCs w:val="24"/>
              </w:rPr>
              <w:fldChar w:fldCharType="separate"/>
            </w:r>
            <w:r w:rsidR="00852294" w:rsidRPr="00B250FB">
              <w:rPr>
                <w:rFonts w:ascii="Calibri" w:eastAsia="Times New Roman" w:hAnsi="Calibri" w:cs="Times New Roman"/>
                <w:noProof/>
                <w:color w:val="000000"/>
                <w:sz w:val="24"/>
                <w:szCs w:val="24"/>
              </w:rPr>
              <w:t>[8]</w:t>
            </w:r>
            <w:r>
              <w:rPr>
                <w:rFonts w:ascii="Calibri" w:eastAsia="Times New Roman" w:hAnsi="Calibri" w:cs="Times New Roman"/>
                <w:color w:val="000000"/>
                <w:sz w:val="24"/>
                <w:szCs w:val="24"/>
              </w:rPr>
              <w:fldChar w:fldCharType="end"/>
            </w:r>
          </w:p>
        </w:tc>
        <w:tc>
          <w:tcPr>
            <w:tcW w:w="1092" w:type="dxa"/>
            <w:tcBorders>
              <w:top w:val="nil"/>
              <w:left w:val="nil"/>
              <w:bottom w:val="single" w:sz="4" w:space="0" w:color="auto"/>
              <w:right w:val="single" w:sz="4" w:space="0" w:color="auto"/>
            </w:tcBorders>
            <w:shd w:val="clear" w:color="auto" w:fill="auto"/>
            <w:noWrap/>
            <w:vAlign w:val="center"/>
            <w:hideMark/>
          </w:tcPr>
          <w:p w:rsidR="00852294" w:rsidRPr="00B250FB" w:rsidRDefault="002C5240" w:rsidP="009C5248">
            <w:pPr>
              <w:spacing w:after="0" w:line="240" w:lineRule="auto"/>
              <w:ind w:left="-284"/>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fldChar w:fldCharType="begin" w:fldLock="1"/>
            </w:r>
            <w:r w:rsidR="00852294">
              <w:rPr>
                <w:rFonts w:ascii="Calibri" w:eastAsia="Times New Roman" w:hAnsi="Calibri" w:cs="Times New Roman"/>
                <w:color w:val="000000"/>
                <w:sz w:val="24"/>
                <w:szCs w:val="24"/>
              </w:rPr>
              <w:instrText>ADDIN CSL_CITATION {"citationItems":[{"id":"ITEM-1","itemData":{"DOI":"10.1007/s002510050658","ISBN":"0093-7711 (Print)\r0093-7711 (Linking)","ISSN":"00937711","PMID":"10369920","abstract":"A polymorphic gene, MIC-A, is one of the MIC family of genes which is composed of a group of homologous genes interspersed in the class III and class I regions of the major histocompatibility complex. MIC-A is located 46 kilobases (kb) centromeric of HLA-B, and is preferentially expressed in the epithelial cells and intestinal mucosa. Recently, MIC-A and the closely related MIC-B were reported as the molecules that conferred specificity in the recognition by the Vdelta1gammadeltaT cells. In the present study, polymorphic exons 2, 3, and 4 of the MIC-A gene were analyzed using the polymerase chain reaction-single-strand conformation polymorphism method. The number of patterns found in exons 2, 3, and 4 were 5, 6, and 4, respectively, in 114 healthy Japanese subjects. Eight MIC-A alleles were observed in Japanese individuals, among which one, tentatively named MIC-AMW, has not previously been reported. There was a strong linkage disequilibrium between MIC-A and HLA-B loci: each MIC-A allele showed strong association with a particular HLA-B group. In contrast, B*3901 showed association with multiple MIC-A alleles. Furthermore, the existence of a MIC-A-MIC-B null haplotype, which is associated with HLA-B*4801, was identified. In this haplotype, a large-scale deletion (of approximately 100 kb) including the entire MIC-A gene was indicated and the MIC-B gene possessed a stop codon.","author":[{"dropping-particle":"","family":"Komatsu-Wakui","given":"Miki","non-dropping-particle":"","parse-names":false,"suffix":""},{"dropping-particle":"","family":"Tokunaga","given":"Katsushi","non-dropping-particle":"","parse-names":false,"suffix":""},{"dropping-particle":"","family":"Ishikawa","given":"Yoshihide","non-dropping-particle":"","parse-names":false,"suffix":""},{"dropping-particle":"","family":"Kashiwase","given":"Kouichi","non-dropping-particle":"","parse-names":false,"suffix":""},{"dropping-particle":"","family":"Moriyama","given":"Satoshi","non-dropping-particle":"","parse-names":false,"suffix":""},{"dropping-particle":"","family":"Tsuchiya","given":"Naoyuki","non-dropping-particle":"","parse-names":false,"suffix":""},{"dropping-particle":"","family":"Ando","given":"Hitoshi","non-dropping-particle":"","parse-names":false,"suffix":""},{"dropping-particle":"","family":"Shiina","given":"Takashi","non-dropping-particle":"","parse-names":false,"suffix":""},{"dropping-particle":"","family":"Geraghty","given":"Daniel E.","non-dropping-particle":"","parse-names":false,"suffix":""},{"dropping-particle":"","family":"Inoko","given":"Hidetoshi","non-dropping-particle":"","parse-names":false,"suffix":""},{"dropping-particle":"","family":"Juji","given":"Takeo","non-dropping-particle":"","parse-names":false,"suffix":""}],"container-title":"Immunogenetics","id":"ITEM-1","issue":"7-8","issued":{"date-parts":[["1999"]]},"page":"620-628","title":"MIC-A polymorphism in Japanese and a MIC-A-MIC-B null haplotype","type":"article-journal","volume":"49"},"uris":["http://www.mendeley.com/documents/?uuid=b79bb694-c8f7-47f2-beef-360bb9b86943"]}],"mendeley":{"formattedCitation":"[9]","plainTextFormattedCitation":"[9]","previouslyFormattedCitation":"[9]"},"properties":{"noteIndex":0},"schema":"https://github.com/citation-style-language/schema/raw/master/csl-citation.json"}</w:instrText>
            </w:r>
            <w:r>
              <w:rPr>
                <w:rFonts w:ascii="Calibri" w:eastAsia="Times New Roman" w:hAnsi="Calibri" w:cs="Times New Roman"/>
                <w:color w:val="000000"/>
                <w:sz w:val="24"/>
                <w:szCs w:val="24"/>
              </w:rPr>
              <w:fldChar w:fldCharType="separate"/>
            </w:r>
            <w:r w:rsidR="00852294" w:rsidRPr="00B250FB">
              <w:rPr>
                <w:rFonts w:ascii="Calibri" w:eastAsia="Times New Roman" w:hAnsi="Calibri" w:cs="Times New Roman"/>
                <w:noProof/>
                <w:color w:val="000000"/>
                <w:sz w:val="24"/>
                <w:szCs w:val="24"/>
              </w:rPr>
              <w:t>[9]</w:t>
            </w:r>
            <w:r>
              <w:rPr>
                <w:rFonts w:ascii="Calibri" w:eastAsia="Times New Roman" w:hAnsi="Calibri" w:cs="Times New Roman"/>
                <w:color w:val="000000"/>
                <w:sz w:val="24"/>
                <w:szCs w:val="24"/>
              </w:rPr>
              <w:fldChar w:fldCharType="end"/>
            </w:r>
          </w:p>
        </w:tc>
        <w:tc>
          <w:tcPr>
            <w:tcW w:w="1188" w:type="dxa"/>
            <w:tcBorders>
              <w:top w:val="nil"/>
              <w:left w:val="nil"/>
              <w:bottom w:val="single" w:sz="4" w:space="0" w:color="auto"/>
              <w:right w:val="single" w:sz="4" w:space="0" w:color="auto"/>
            </w:tcBorders>
            <w:shd w:val="clear" w:color="auto" w:fill="auto"/>
            <w:noWrap/>
            <w:vAlign w:val="center"/>
            <w:hideMark/>
          </w:tcPr>
          <w:p w:rsidR="00852294" w:rsidRPr="00B250FB" w:rsidRDefault="002C5240" w:rsidP="009C5248">
            <w:pPr>
              <w:spacing w:after="0" w:line="240" w:lineRule="auto"/>
              <w:ind w:left="-284"/>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fldChar w:fldCharType="begin" w:fldLock="1"/>
            </w:r>
            <w:r w:rsidR="00852294">
              <w:rPr>
                <w:rFonts w:ascii="Calibri" w:eastAsia="Times New Roman" w:hAnsi="Calibri" w:cs="Times New Roman"/>
                <w:color w:val="000000"/>
                <w:sz w:val="24"/>
                <w:szCs w:val="24"/>
              </w:rPr>
              <w:instrText>ADDIN CSL_CITATION {"citationItems":[{"id":"ITEM-1","itemData":{"DOI":"10.1016/S0198-8859(02)00826-1","ISBN":"0198-8859 (Print)\r0198-8859 (Linking)","ISSN":"01988859","PMID":"12590984","abstract":"The MICA (MHC class I chain-related gene A) is a polymorphic gene located 46 kb centromeric of the HLA-B gene, and is preferentially expressed in epithelial cells and intestinal mucosa. The MICA gene, similar to human leukocyte antigen (HLA) class I, displays a high degree of genetic polymorphism in exons 2, 3, 4, and 5, amounting to 54 alleles. In this study, we investigated the polymorphisms at exons coding for extracellular domains (exons 2, 3, and 4), and the GCT repeat polymorphism at the transmembrane (exon 5) of MICA in 199 unrelated healthy Koreans. Eight alleles were observed in the Korean population, with allele frequencies for MICA*010, MICA*00201, MICA*027, MICA*004, MICA*012, MICA*00801, MICA*00901, and MICA*00701 being 18.3%, 17.8%, 13.6%, 12.3%, 11.1%, 10.8%, 10.6%, and 3.3%, respectively. Strong linkage disequilibria were also observed between the MICA and HLA-B gene - MICA*00201-B58, MICA*004-B44, MICA*00701-B27, MICA*00801-B60, MICA*0901-B51, MICA*010-B62, MICA*012-B54, and MICA*027-B61. In the analysis of the haplotypes of HLA class I genes (HLA-A, B, and C) and the MICA, the most common haplotype was MICA*004-A33-B44-Cw*07, followed by MICA*00201-A2-B58-Cw*0302 and MICA*012-A2-B54-Cw*0102. The MICA null haplotype might be identified in the HLA-B48 homozygous individual. These results will provide an understanding of the role of MICA in transplantation, disease association, and population analyses in Koreans. © American Society for Histocompatibility and Immunogenetics, 2003. Published by Elsevier Science Inc.","author":[{"dropping-particle":"","family":"Pyo","given":"Chul Woo","non-dropping-particle":"","parse-names":false,"suffix":""},{"dropping-particle":"","family":"Hur","given":"Seong Suk","non-dropping-particle":"","parse-names":false,"suffix":""},{"dropping-particle":"","family":"Kim","given":"Yang Kyum","non-dropping-particle":"","parse-names":false,"suffix":""},{"dropping-particle":"","family":"Choi","given":"Hee Baeg","non-dropping-particle":"","parse-names":false,"suffix":""},{"dropping-particle":"","family":"Kim","given":"Tae Yoon","non-dropping-particle":"","parse-names":false,"suffix":""},{"dropping-particle":"","family":"Kim","given":"Tai Gyu","non-dropping-particle":"","parse-names":false,"suffix":""}],"container-title":"Human Immunology","id":"ITEM-1","issue":"3","issued":{"date-parts":[["2003"]]},"page":"378-384","title":"Distribution of MICA alleles and haplotypes associated with HLA in the Korean population","type":"article-journal","volume":"64"},"uris":["http://www.mendeley.com/documents/?uuid=a541a74c-f7c9-4dc7-948e-59bcad9f79e6"]}],"mendeley":{"formattedCitation":"[10]","plainTextFormattedCitation":"[10]","previouslyFormattedCitation":"[10]"},"properties":{"noteIndex":0},"schema":"https://github.com/citation-style-language/schema/raw/master/csl-citation.json"}</w:instrText>
            </w:r>
            <w:r>
              <w:rPr>
                <w:rFonts w:ascii="Calibri" w:eastAsia="Times New Roman" w:hAnsi="Calibri" w:cs="Times New Roman"/>
                <w:color w:val="000000"/>
                <w:sz w:val="24"/>
                <w:szCs w:val="24"/>
              </w:rPr>
              <w:fldChar w:fldCharType="separate"/>
            </w:r>
            <w:r w:rsidR="00852294" w:rsidRPr="00B250FB">
              <w:rPr>
                <w:rFonts w:ascii="Calibri" w:eastAsia="Times New Roman" w:hAnsi="Calibri" w:cs="Times New Roman"/>
                <w:noProof/>
                <w:color w:val="000000"/>
                <w:sz w:val="24"/>
                <w:szCs w:val="24"/>
              </w:rPr>
              <w:t>[10]</w:t>
            </w:r>
            <w:r>
              <w:rPr>
                <w:rFonts w:ascii="Calibri" w:eastAsia="Times New Roman" w:hAnsi="Calibri" w:cs="Times New Roman"/>
                <w:color w:val="000000"/>
                <w:sz w:val="24"/>
                <w:szCs w:val="24"/>
              </w:rPr>
              <w:fldChar w:fldCharType="end"/>
            </w:r>
          </w:p>
        </w:tc>
        <w:tc>
          <w:tcPr>
            <w:tcW w:w="2008" w:type="dxa"/>
            <w:tcBorders>
              <w:top w:val="nil"/>
              <w:left w:val="nil"/>
              <w:bottom w:val="single" w:sz="4" w:space="0" w:color="auto"/>
              <w:right w:val="single" w:sz="4" w:space="0" w:color="auto"/>
            </w:tcBorders>
            <w:shd w:val="clear" w:color="auto" w:fill="auto"/>
            <w:noWrap/>
            <w:vAlign w:val="center"/>
            <w:hideMark/>
          </w:tcPr>
          <w:p w:rsidR="00852294" w:rsidRPr="00B250FB" w:rsidRDefault="002C5240" w:rsidP="009C5248">
            <w:pPr>
              <w:spacing w:after="0" w:line="240" w:lineRule="auto"/>
              <w:ind w:left="-284"/>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fldChar w:fldCharType="begin" w:fldLock="1"/>
            </w:r>
            <w:r w:rsidR="00852294">
              <w:rPr>
                <w:rFonts w:ascii="Calibri" w:eastAsia="Times New Roman" w:hAnsi="Calibri" w:cs="Times New Roman"/>
                <w:color w:val="000000"/>
                <w:sz w:val="24"/>
                <w:szCs w:val="24"/>
              </w:rPr>
              <w:instrText>ADDIN CSL_CITATION {"citationItems":[{"id":"ITEM-1","itemData":{"DOI":"10.1016/j.humimm.2010.01.025","ISSN":"01988859","PMID":"20097244","abstract":"The major histocompatibility complex class I chain-related gene A (MICA) in humans, located 46 kb centromeric to human leukocyte antigen (HLA)-B, is highly polymorphic. In addition to its primary role in immune surveillance, recent data highlight the importance of MICA in organ transplantation and in susceptibility to some diseases. In this study, 104 healthy, unrelated Han subjects recruited from central Inner Mongolia Autonomous Region, northern China, were investigated by sequence-based typing and fragment analysis for MICA allelic variation, MICA-HLA-B linkage disequilibrium, and HLA-A-Cw-B-MICA haplotypic diversity. Nineteen MICA alleles were observed, the most frequent of which were MICA*00801, MICA*010, MICA*00201, MICA*00901, and MICA*045, with gene frequencies of 23.08%, 18.75%, 12.02%, 12.02%, and 8.17%, respectively. The peculiarity in HLA-B-MICA haplotypic configurations was also uncovered. In particular, there was a clear-cut dichotomy between MICA*00801 and MICA*045 in their linkage to members of HLA-B*13 lineage, which was frequently represented in this population. A new MICA allele, MICA*059, was identified, which appeared to be evolutionarily linked to MICA*045. Haplotype HLA-A*30-Cw*06-B*1302-MICA*00801, previously not reported in other populations, was found with a frequency of 8.65% in this population. Our results provide new data about MICA genetic polymorphism in Chinese Han populations, which will form the basis for future studies of the potential role of MICA in allogeneic organ transplantation and disease susceptibility in related ethnic groups. © 2010 American Society for Histocompatibility and Immunogenetics.","author":[{"dropping-particle":"","family":"Tian","given":"Wei","non-dropping-particle":"","parse-names":false,"suffix":""},{"dropping-particle":"","family":"Cai","given":"Jin H.","non-dropping-particle":"","parse-names":false,"suffix":""},{"dropping-particle":"","family":"Wang","given":"Fan","non-dropping-particle":"","parse-names":false,"suffix":""},{"dropping-particle":"","family":"Li","given":"Li X.","non-dropping-particle":"","parse-names":false,"suffix":""}],"container-title":"Human Immunology","id":"ITEM-1","issue":"4","issued":{"date-parts":[["2010"]]},"page":"423-427","publisher":"Elsevier Inc.","title":"MICA polymorphism in a northern Chinese Han population: The identification of a new MICA allele, MICA*059","type":"article-journal","volume":"71"},"uris":["http://www.mendeley.com/documents/?uuid=8c067cdd-d52c-468c-b07b-f862daeb025e"]}],"mendeley":{"formattedCitation":"[11]","plainTextFormattedCitation":"[11]","previouslyFormattedCitation":"[11]"},"properties":{"noteIndex":0},"schema":"https://github.com/citation-style-language/schema/raw/master/csl-citation.json"}</w:instrText>
            </w:r>
            <w:r>
              <w:rPr>
                <w:rFonts w:ascii="Calibri" w:eastAsia="Times New Roman" w:hAnsi="Calibri" w:cs="Times New Roman"/>
                <w:color w:val="000000"/>
                <w:sz w:val="24"/>
                <w:szCs w:val="24"/>
              </w:rPr>
              <w:fldChar w:fldCharType="separate"/>
            </w:r>
            <w:r w:rsidR="00852294" w:rsidRPr="00B250FB">
              <w:rPr>
                <w:rFonts w:ascii="Calibri" w:eastAsia="Times New Roman" w:hAnsi="Calibri" w:cs="Times New Roman"/>
                <w:noProof/>
                <w:color w:val="000000"/>
                <w:sz w:val="24"/>
                <w:szCs w:val="24"/>
              </w:rPr>
              <w:t>[11]</w:t>
            </w:r>
            <w:r>
              <w:rPr>
                <w:rFonts w:ascii="Calibri" w:eastAsia="Times New Roman" w:hAnsi="Calibri" w:cs="Times New Roman"/>
                <w:color w:val="000000"/>
                <w:sz w:val="24"/>
                <w:szCs w:val="24"/>
              </w:rPr>
              <w:fldChar w:fldCharType="end"/>
            </w:r>
          </w:p>
        </w:tc>
      </w:tr>
    </w:tbl>
    <w:p w:rsidR="003A42C7" w:rsidRDefault="003A42C7" w:rsidP="009C5248">
      <w:pPr>
        <w:ind w:left="-284"/>
      </w:pPr>
    </w:p>
    <w:p w:rsidR="00852294" w:rsidRPr="003E3AAC" w:rsidRDefault="00852294" w:rsidP="003360A4">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Таблица 1. Распределение аллелей </w:t>
      </w:r>
      <w:r w:rsidRPr="006C3763">
        <w:rPr>
          <w:rFonts w:ascii="Times New Roman" w:hAnsi="Times New Roman" w:cs="Times New Roman"/>
          <w:i/>
          <w:sz w:val="28"/>
          <w:szCs w:val="28"/>
        </w:rPr>
        <w:t>MICA</w:t>
      </w:r>
      <w:r>
        <w:rPr>
          <w:rFonts w:ascii="Times New Roman" w:hAnsi="Times New Roman" w:cs="Times New Roman"/>
          <w:sz w:val="28"/>
          <w:szCs w:val="28"/>
        </w:rPr>
        <w:t xml:space="preserve"> в российской популяции и некоторых зарубежных странах. Частоты аллелей указаны в процентах. Во втором столбце представлены данные, полученные в рамках данной работы. Примечания: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/о» - аллель не был описан на момент исследования; * - в Японии часть аллелей (8,5%) не удалось определить; ** и *** - у некоторых доноров была обнаружена </w:t>
      </w:r>
      <w:proofErr w:type="spellStart"/>
      <w:r>
        <w:rPr>
          <w:rFonts w:ascii="Times New Roman" w:hAnsi="Times New Roman" w:cs="Times New Roman"/>
          <w:sz w:val="28"/>
          <w:szCs w:val="28"/>
        </w:rPr>
        <w:t>делеция</w:t>
      </w:r>
      <w:proofErr w:type="spellEnd"/>
      <w:r>
        <w:rPr>
          <w:rFonts w:ascii="Times New Roman" w:hAnsi="Times New Roman" w:cs="Times New Roman"/>
          <w:sz w:val="28"/>
          <w:szCs w:val="28"/>
        </w:rPr>
        <w:t xml:space="preserve"> гена </w:t>
      </w:r>
      <w:r w:rsidRPr="006C3763">
        <w:rPr>
          <w:rFonts w:ascii="Times New Roman" w:hAnsi="Times New Roman" w:cs="Times New Roman"/>
          <w:i/>
          <w:sz w:val="28"/>
          <w:szCs w:val="28"/>
        </w:rPr>
        <w:t>MICA</w:t>
      </w:r>
      <w:r>
        <w:rPr>
          <w:rFonts w:ascii="Times New Roman" w:hAnsi="Times New Roman" w:cs="Times New Roman"/>
          <w:sz w:val="28"/>
          <w:szCs w:val="28"/>
        </w:rPr>
        <w:t>, соответственно, 2,3% в Корее и 3,9% в Северном Китае.</w:t>
      </w:r>
    </w:p>
    <w:p w:rsidR="00852294" w:rsidRDefault="00852294" w:rsidP="009C5248">
      <w:pPr>
        <w:ind w:left="-284"/>
      </w:pPr>
    </w:p>
    <w:sectPr w:rsidR="00852294" w:rsidSect="003A42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2294"/>
    <w:rsid w:val="002C5240"/>
    <w:rsid w:val="003360A4"/>
    <w:rsid w:val="003A42C7"/>
    <w:rsid w:val="00852294"/>
    <w:rsid w:val="009C52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2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3049</Words>
  <Characters>17383</Characters>
  <Application>Microsoft Office Word</Application>
  <DocSecurity>0</DocSecurity>
  <Lines>144</Lines>
  <Paragraphs>40</Paragraphs>
  <ScaleCrop>false</ScaleCrop>
  <Company/>
  <LinksUpToDate>false</LinksUpToDate>
  <CharactersWithSpaces>20392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Janna-K</dc:creator>
  <cp:keywords/>
  <dc:description/>
  <cp:lastModifiedBy>Janna-K</cp:lastModifiedBy>
  <cp:revision>4</cp:revision>
  <dcterms:created xsi:type="dcterms:W3CDTF">2018-09-21T12:16:00Z</dcterms:created>
  <dcterms:modified xsi:type="dcterms:W3CDTF">2018-09-26T14:46:00Z</dcterms:modified>
</cp:coreProperties>
</file>