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7" w:type="dxa"/>
        <w:tblInd w:w="-176" w:type="dxa"/>
        <w:tblLook w:val="04A0"/>
      </w:tblPr>
      <w:tblGrid>
        <w:gridCol w:w="1219"/>
        <w:gridCol w:w="1004"/>
        <w:gridCol w:w="1214"/>
        <w:gridCol w:w="1044"/>
        <w:gridCol w:w="1178"/>
        <w:gridCol w:w="1092"/>
        <w:gridCol w:w="1188"/>
        <w:gridCol w:w="2008"/>
      </w:tblGrid>
      <w:tr w:rsidR="00852294" w:rsidRPr="00B250FB" w:rsidTr="009C5248">
        <w:trPr>
          <w:trHeight w:val="708"/>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Аллель</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Россия (n=119)</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Германия (n=110)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Австрия (n=320)</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Словакия (n=124)</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Япония (n=114)*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Корея (n=199)**</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Северный Китай (n=104) ***</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*001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 </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0,9</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*002</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19,3</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13,2</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10,9</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16,5</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12,5</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17,8</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12,0</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*004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6,7</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5,5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6,4</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7,3</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11,1</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12,3</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4,8</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*006</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0,3</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0,8</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*007</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3,0</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3,2</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4,5</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6,9</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0,9</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3,3</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1,5</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*008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35,7</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40,5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43,1</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37,1</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25,2</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10,8</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23,6</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*009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10,1</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10,9</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10,9</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11,3</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18,4</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10,6</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12,5</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*010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5,0</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5,5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5,9</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2,8</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12,5</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18,3</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18,8</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*011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3,8</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3,2</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2,1</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2,0</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0,5</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*012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2,1</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4,5</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1,6</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1,2</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10,9</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11,1</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*016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2,5</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1,4</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3,1</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2,0</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1,0</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*017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3,4</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2,7</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3,3</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2,0</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1,9</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*018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5,5</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2,7</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4,6</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6,9</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0,5</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*019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0,4</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1,8</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0,3</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2,0</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3,9</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*027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1,3</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1,8</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1,5</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0,8</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13,6</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5,3</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*029</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0,2</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*033</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0,5</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*045</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8,2</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*051</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2,3</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cantSplit/>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*053   </w:t>
            </w:r>
          </w:p>
        </w:tc>
        <w:tc>
          <w:tcPr>
            <w:tcW w:w="1004" w:type="dxa"/>
            <w:tcBorders>
              <w:top w:val="nil"/>
              <w:left w:val="nil"/>
              <w:bottom w:val="nil"/>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0,8</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*057</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0,4</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trHeight w:val="339"/>
        </w:trPr>
        <w:tc>
          <w:tcPr>
            <w:tcW w:w="1219" w:type="dxa"/>
            <w:tcBorders>
              <w:top w:val="nil"/>
              <w:left w:val="single" w:sz="4" w:space="0" w:color="auto"/>
              <w:bottom w:val="nil"/>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*067</w:t>
            </w:r>
          </w:p>
        </w:tc>
        <w:tc>
          <w:tcPr>
            <w:tcW w:w="100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214"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0,2</w:t>
            </w:r>
          </w:p>
        </w:tc>
        <w:tc>
          <w:tcPr>
            <w:tcW w:w="117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nil"/>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2008" w:type="dxa"/>
            <w:tcBorders>
              <w:top w:val="nil"/>
              <w:left w:val="nil"/>
              <w:bottom w:val="nil"/>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cantSplit/>
          <w:trHeight w:val="339"/>
        </w:trPr>
        <w:tc>
          <w:tcPr>
            <w:tcW w:w="1219" w:type="dxa"/>
            <w:tcBorders>
              <w:top w:val="nil"/>
              <w:left w:val="single" w:sz="4" w:space="0" w:color="auto"/>
              <w:bottom w:val="single" w:sz="4" w:space="0" w:color="auto"/>
              <w:right w:val="single" w:sz="4" w:space="0" w:color="auto"/>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 xml:space="preserve">*068 </w:t>
            </w:r>
          </w:p>
        </w:tc>
        <w:tc>
          <w:tcPr>
            <w:tcW w:w="1004" w:type="dxa"/>
            <w:tcBorders>
              <w:top w:val="nil"/>
              <w:left w:val="nil"/>
              <w:bottom w:val="single" w:sz="4" w:space="0" w:color="auto"/>
              <w:right w:val="nil"/>
            </w:tcBorders>
            <w:shd w:val="clear" w:color="auto" w:fill="auto"/>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r w:rsidRPr="00B250FB">
              <w:rPr>
                <w:rFonts w:ascii="Times New Roman" w:eastAsia="Times New Roman" w:hAnsi="Times New Roman" w:cs="Times New Roman"/>
                <w:color w:val="000000"/>
                <w:sz w:val="24"/>
                <w:szCs w:val="24"/>
              </w:rPr>
              <w:t>0,4</w:t>
            </w:r>
          </w:p>
        </w:tc>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44" w:type="dxa"/>
            <w:tcBorders>
              <w:top w:val="nil"/>
              <w:left w:val="nil"/>
              <w:bottom w:val="single" w:sz="4" w:space="0" w:color="auto"/>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0,2</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c>
          <w:tcPr>
            <w:tcW w:w="1092" w:type="dxa"/>
            <w:tcBorders>
              <w:top w:val="nil"/>
              <w:left w:val="nil"/>
              <w:bottom w:val="single" w:sz="4" w:space="0" w:color="auto"/>
              <w:right w:val="nil"/>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proofErr w:type="spellStart"/>
            <w:r w:rsidRPr="00B250FB">
              <w:rPr>
                <w:rFonts w:ascii="Calibri" w:eastAsia="Times New Roman" w:hAnsi="Calibri" w:cs="Times New Roman"/>
                <w:color w:val="000000"/>
                <w:sz w:val="24"/>
                <w:szCs w:val="24"/>
              </w:rPr>
              <w:t>н</w:t>
            </w:r>
            <w:proofErr w:type="spellEnd"/>
            <w:r w:rsidRPr="00B250FB">
              <w:rPr>
                <w:rFonts w:ascii="Calibri" w:eastAsia="Times New Roman" w:hAnsi="Calibri" w:cs="Times New Roman"/>
                <w:color w:val="000000"/>
                <w:sz w:val="24"/>
                <w:szCs w:val="24"/>
              </w:rPr>
              <w:t>/о</w:t>
            </w:r>
          </w:p>
        </w:tc>
        <w:tc>
          <w:tcPr>
            <w:tcW w:w="2008" w:type="dxa"/>
            <w:tcBorders>
              <w:top w:val="nil"/>
              <w:left w:val="nil"/>
              <w:bottom w:val="single" w:sz="4" w:space="0" w:color="auto"/>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Calibri" w:eastAsia="Times New Roman" w:hAnsi="Calibri" w:cs="Times New Roman"/>
                <w:color w:val="000000"/>
                <w:sz w:val="24"/>
                <w:szCs w:val="24"/>
              </w:rPr>
            </w:pPr>
            <w:r w:rsidRPr="00B250FB">
              <w:rPr>
                <w:rFonts w:ascii="Calibri" w:eastAsia="Times New Roman" w:hAnsi="Calibri" w:cs="Times New Roman"/>
                <w:color w:val="000000"/>
                <w:sz w:val="24"/>
                <w:szCs w:val="24"/>
              </w:rPr>
              <w:t>-</w:t>
            </w:r>
          </w:p>
        </w:tc>
      </w:tr>
      <w:tr w:rsidR="00852294" w:rsidRPr="00B250FB" w:rsidTr="009C5248">
        <w:trPr>
          <w:trHeight w:val="339"/>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rsidR="00852294" w:rsidRPr="00B250FB" w:rsidRDefault="00852294" w:rsidP="009C5248">
            <w:pPr>
              <w:spacing w:after="0" w:line="240" w:lineRule="auto"/>
              <w:ind w:left="-284"/>
              <w:jc w:val="center"/>
              <w:rPr>
                <w:rFonts w:ascii="Times New Roman" w:eastAsia="Times New Roman" w:hAnsi="Times New Roman" w:cs="Times New Roman"/>
                <w:color w:val="000000"/>
                <w:sz w:val="24"/>
                <w:szCs w:val="24"/>
              </w:rPr>
            </w:pPr>
            <w:proofErr w:type="spellStart"/>
            <w:r w:rsidRPr="00B250FB">
              <w:rPr>
                <w:rFonts w:ascii="Times New Roman" w:eastAsia="Times New Roman" w:hAnsi="Times New Roman" w:cs="Times New Roman"/>
                <w:color w:val="000000"/>
                <w:sz w:val="24"/>
                <w:szCs w:val="24"/>
              </w:rPr>
              <w:t>Ref</w:t>
            </w:r>
            <w:proofErr w:type="spellEnd"/>
            <w:r w:rsidRPr="00B250FB">
              <w:rPr>
                <w:rFonts w:ascii="Times New Roman" w:eastAsia="Times New Roman" w:hAnsi="Times New Roman" w:cs="Times New Roman"/>
                <w:color w:val="000000"/>
                <w:sz w:val="24"/>
                <w:szCs w:val="24"/>
              </w:rPr>
              <w:t>.</w:t>
            </w:r>
          </w:p>
        </w:tc>
        <w:tc>
          <w:tcPr>
            <w:tcW w:w="1004" w:type="dxa"/>
            <w:tcBorders>
              <w:top w:val="nil"/>
              <w:left w:val="nil"/>
              <w:bottom w:val="single" w:sz="4" w:space="0" w:color="auto"/>
              <w:right w:val="single" w:sz="4" w:space="0" w:color="auto"/>
            </w:tcBorders>
            <w:shd w:val="clear" w:color="auto" w:fill="auto"/>
            <w:noWrap/>
            <w:vAlign w:val="bottom"/>
            <w:hideMark/>
          </w:tcPr>
          <w:p w:rsidR="00852294" w:rsidRPr="00B250FB" w:rsidRDefault="00852294" w:rsidP="009C5248">
            <w:pPr>
              <w:spacing w:after="0" w:line="240" w:lineRule="auto"/>
              <w:ind w:left="-284"/>
              <w:jc w:val="right"/>
              <w:rPr>
                <w:rFonts w:ascii="Calibri" w:eastAsia="Times New Roman" w:hAnsi="Calibri" w:cs="Times New Roman"/>
                <w:color w:val="000000"/>
                <w:sz w:val="24"/>
                <w:szCs w:val="24"/>
              </w:rPr>
            </w:pPr>
          </w:p>
        </w:tc>
        <w:tc>
          <w:tcPr>
            <w:tcW w:w="1214"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{"citationItems":[{"id":"ITEM-1","itemData":{"DOI":"10.1111/j.1399-0039.2010.01601.x","ISBN":"0001-2815","ISSN":"00012815","PMID":"21299524","abstract":"The polymorphic MICA (major histocompatibility complex class I chain-related gene A) (Gene ID: 100507436) gene products are a ligand of the activating natural killer cell receptor, NKG2D. Their clinical importance spans from solid organ transplantation to bone marrow transplantation and disease susceptibility. Typing of MICA genes by sequencing is hampered by an exon 5 short tandem repeat, the definition of which is critical for the final allelic and functional assignment. We present a novel sequencing approach, which uses group-specific (7T/8T) exon 5 polymerase chain reactions (PCRs) and facilitates hemizygous exon 5 MICA-PCR in approximately 70% of the tested individuals. With this method we typed the International Histocompatibility Workshop Group MICA reference panel (40 cell lines) as well as 110 healthy South German blood donors. All ambiguities, with the exception of MICA*008:01/008:04 (synonymous substitution in exon 1) and MICA*009:01/049 (nonsynonymous substitution in exon 6), could be resolved with our method. Analysis of Hardy-Weinberg equilibrium for our cohort showed no significant difference between expected and observed frequencies of MICA alleles (P = 0.6142). The three most frequent alleles in our blood donor cohort were MICA*008:01/008:04 (40.5%), MICA*002:01 (13.2%), and MICA*009:01/049 (8.6%). The 7T polymorphism was observed in 67.7% and the 8T polymorphism in 32.3% of our blood donor cohort. Individuals (24.5%) tested were homozygous. The approach described in this paper is suitable for accurate sequencing of large sample numbers, including direct readout of exon 5 sequences. It is compatible with laboratory automation and commercial human leukocyte antigen analysis software tools. It may therefore be applied in large clinical trials.","author":[{"dropping-particle":"","family":"Fürst","given":"D.","non-dropping-particle":"","parse-names":false,"suffix":""},{"dropping-particle":"","family":"Solgi","given":"G.","non-dropping-particle":"","parse-names":false,"suffix":""},{"dropping-particle":"","family":"Recker","given":"K.","non-dropping-particle":"","parse-names":false,"suffix":""},{"dropping-particle":"","family":"Mytilineos","given":"D.","non-dropping-particle":"","parse-names":false,"suffix":""},{"dropping-particle":"","family":"Schrezenmeier","given":"H.","non-dropping-particle":"","parse-names":false,"suffix":""},{"dropping-particle":"","family":"Mytilineos","given":"J.","non-dropping-particle":"","parse-names":false,"suffix":""}],"container-title":"Tissue Antigens","id":"ITEM-1","issue":"3","issued":{"date-parts":[["2011"]]},"page":"201-205","title":"Sequence-based typing of major histocompatibility complex class I chain-related gene A alleles by use of exons 2-5 information","type":"article-journal","volume":"77"},"uris":["http://www.mendeley.com/documents/?uuid=20087044-42a5-4177-b933-f08c22078056"]}],"mendeley":{"formattedCitation":"[6]","plainTextFormattedCitation":"[6]","previouslyFormattedCitation":"[6]"},"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[6]</w:t>
            </w:r>
            <w:r>
              <w:rPr>
                <w:rFonts w:ascii="Calibri" w:eastAsia="Times New Roman" w:hAnsi="Calibri" w:cs="Times New Roman"/>
                <w:color w:val="000000"/>
                <w:sz w:val="24"/>
                <w:szCs w:val="24"/>
              </w:rPr>
              <w:fldChar w:fldCharType="end"/>
            </w:r>
          </w:p>
        </w:tc>
        <w:tc>
          <w:tcPr>
            <w:tcW w:w="1044"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{"citationItems":[{"id":"ITEM-1","itemData":{"DOI":"10.1016/j.humimm.2013.06.013","ISSN":"01988859","PMID":"23777932","abstract":"The Major Histocompatibility Complex Class I Chain-Related Gene A (MICA) is located 46.4Kb centromeric to HLA-B locus on chromosome 6; 84 alleles have been described so far. To assess the distribution of MICA alleles in an Austrian population, 322 unrelated Austrian blood donors have been typed for MICA by direct sequencing of amplified exons 2-5; sequencing of exon 6 and separating alleles by haplotype specific primers or by cloning was performed to resolve ambiguities. HLA-B was typed at low level resolution and linkage disequilibrium was determined. We observed 20 already known and four novel MICA alleles. MICA*008:01/04 was the most frequent allele (42%), followed by MICA*002:01 (11%) and MICA*009:01 (9%), three alleles (MICA*029,*067 and*068) were observed only once. No deviation from the Hardy Weinberg equilibrium was observed. Linkage disequilibrium between MICA and HLA-B alleles was observed, most extensively between MICA*008:01/04 and HLA-B*07. Our population data are in agreement with other European populations. The fact that four novel alleles have been observed indicates that the polymorphism of MICA is larger than currently estimated. © 2013 American Society for Histocompatibility and Immunogenetics.","author":[{"dropping-particle":"","family":"Wenda","given":"Sabine","non-dropping-particle":"","parse-names":false,"suffix":""},{"dropping-particle":"","family":"Faé","given":"Ingrid","non-dropping-particle":"","parse-names":false,"suffix":""},{"dropping-particle":"","family":"Sanchez-Mazas","given":"Alicia","non-dropping-particle":"","parse-names":false,"suffix":""},{"dropping-particle":"","family":"Nunes","given":"José M.","non-dropping-particle":"","parse-names":false,"suffix":""},{"dropping-particle":"","family":"Mayr","given":"Wolfgang R.","non-dropping-particle":"","parse-names":false,"suffix":""},{"dropping-particle":"","family":"Fischer","given":"Gottfried F.","non-dropping-particle":"","parse-names":false,"suffix":""}],"container-title":"Human Immunology","id":"ITEM-1","issue":"10","issued":{"date-parts":[["2013"]]},"page":"1295-1299","publisher":"American Society for Histocompatibility and Immunogenetics","title":"The distribution of MICA alleles in an Austrian population: Evidence for increasing polymorphism","type":"article-journal","volume":"74"},"uris":["http://www.mendeley.com/documents/?uuid=4d46e0eb-b6b9-41aa-a971-4f452cef9d9d"]}],"mendeley":{"formattedCitation":"[7]","plainTextFormattedCitation":"[7]","previouslyFormattedCitation":"[7]"},"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[7]</w:t>
            </w:r>
            <w:r>
              <w:rPr>
                <w:rFonts w:ascii="Calibri" w:eastAsia="Times New Roman" w:hAnsi="Calibri" w:cs="Times New Roman"/>
                <w:color w:val="000000"/>
                <w:sz w:val="24"/>
                <w:szCs w:val="24"/>
              </w:rPr>
              <w:fldChar w:fldCharType="end"/>
            </w:r>
          </w:p>
        </w:tc>
        <w:tc>
          <w:tcPr>
            <w:tcW w:w="1178"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{"citationItems":[{"id":"ITEM-1","itemData":{"DOI":"10.3109/03014460.2011.572563","ISSN":"03014460","PMID":"21506888","abstract":"BACKGROUND: The function of the MHC class I polypeptide-related sequence A (MICA) gene, which belongs to the MHC class I chain-related genes, is to trigger cytolysis of target cells mediated by NKG2D receptor recognition in NK (Natural Killer) cells and CD8 T-lymphocytes. The MICA gene has a high degree of polymorphism, especially observed in exons 2-5. MICA allelic diversity has been reported in association with some autoimmune diseases such Behcet's disease, psoriasis and diabetes, as well as with organ rejections. AIM: The aim of this study was to analyse MICA gene polymorphism in the Slovak population, to establish frequencies of MICA alleles and to compare the results with those found in other Western Eurasian populations. No such study has been performed previously in the Slovak population. SUBJECTS AND METHODS: This study examined DNA samples from 124 unrelated Slovak individuals (51 women and 73 men with an average age of 40.3 years) using direct sequencing of MICA exons 2-5. Allele and genotype frequencies were calculated by direct counting and statistical analysis was carried out using Arlequin software. RESULTS: This study identified 15 out of 71 MICA alleles. The most frequent allele was MICA(*)008 (37.1%) followed by alleles MICA(*)002 (16.5%) and MICA(*)009 (11.3%). The rarest alleles were MICA(*)027, MICA(*)006 (both 0.8%) and MICA(*)057 (0.4%), respectively. The most frequent genotypes were 008/008 and 008/002, both with a frequency of 13.7%. Exon 5 microsatellite polymorphism screening revealed five MICA alleles, namely A4, A5, A5.1, A6 and A9. The most frequent was allele A5.1 (37.1%) and the rarest A5 (8.1%). Finally it was found that haplotype MICA*008 A5.1 was the most frequent (37.1%). CONCLUSION: A comparison of these results with those reported in the literature revealed similarity in MICA polymorphism to that found in other Western Eurasian populations. The data will be useful for further association studies on MICA polymorphism and its function.","author":[{"dropping-particle":"","family":"Ďurmanová","given":"V.","non-dropping-particle":"","parse-names":false,"suffix":""},{"dropping-particle":"","family":"Tirpakova","given":"J.","non-dropping-particle":"","parse-names":false,"suffix":""},{"dropping-particle":"","family":"Stuchlikova","given":"M.","non-dropping-particle":"","parse-names":false,"suffix":""},{"dropping-particle":"","family":"Shawkatova","given":"I.","non-dropping-particle":"","parse-names":false,"suffix":""},{"dropping-particle":"","family":"Kuba","given":"D.","non-dropping-particle":"","parse-names":false,"suffix":""},{"dropping-particle":"","family":"Sapak","given":"M.","non-dropping-particle":"","parse-names":false,"suffix":""},{"dropping-particle":"","family":"Buc","given":"M.","non-dropping-particle":"","parse-names":false,"suffix":""}],"container-title":"Annals of Human Biology","id":"ITEM-1","issue":"5","issued":{"date-parts":[["2011"]]},"page":"570-576","title":"Characterization of MICA gene polymorphism of HLA complex in the Slovak population","type":"article-journal","volume":"38"},"uris":["http://www.mendeley.com/documents/?uuid=0d5b1fa5-30db-461b-ae8e-fb84e6d01df6"]}],"mendeley":{"formattedCitation":"[8]","plainTextFormattedCitation":"[8]","previouslyFormattedCitation":"[8]"},"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[8]</w:t>
            </w:r>
            <w:r>
              <w:rPr>
                <w:rFonts w:ascii="Calibri" w:eastAsia="Times New Roman" w:hAnsi="Calibri" w:cs="Times New Roman"/>
                <w:color w:val="000000"/>
                <w:sz w:val="24"/>
                <w:szCs w:val="24"/>
              </w:rPr>
              <w:fldChar w:fldCharType="end"/>
            </w:r>
          </w:p>
        </w:tc>
        <w:tc>
          <w:tcPr>
            <w:tcW w:w="1092"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{"citationItems":[{"id":"ITEM-1","itemData":{"DOI":"10.1007/s002510050658","ISBN":"0093-7711 (Print)\r0093-7711 (Linking)","ISSN":"00937711","PMID":"10369920","abstract":"A polymorphic gene, MIC-A, is one of the MIC family of genes which is composed of a group of homologous genes interspersed in the class III and class I regions of the major histocompatibility complex. MIC-A is located 46 kilobases (kb) centromeric of HLA-B, and is preferentially expressed in the epithelial cells and intestinal mucosa. Recently, MIC-A and the closely related MIC-B were reported as the molecules that conferred specificity in the recognition by the Vdelta1gammadeltaT cells. In the present study, polymorphic exons 2, 3, and 4 of the MIC-A gene were analyzed using the polymerase chain reaction-single-strand conformation polymorphism method. The number of patterns found in exons 2, 3, and 4 were 5, 6, and 4, respectively, in 114 healthy Japanese subjects. Eight MIC-A alleles were observed in Japanese individuals, among which one, tentatively named MIC-AMW, has not previously been reported. There was a strong linkage disequilibrium between MIC-A and HLA-B loci: each MIC-A allele showed strong association with a particular HLA-B group. In contrast, B*3901 showed association with multiple MIC-A alleles. Furthermore, the existence of a MIC-A-MIC-B null haplotype, which is associated with HLA-B*4801, was identified. In this haplotype, a large-scale deletion (of approximately 100 kb) including the entire MIC-A gene was indicated and the MIC-B gene possessed a stop codon.","author":[{"dropping-particle":"","family":"Komatsu-Wakui","given":"Miki","non-dropping-particle":"","parse-names":false,"suffix":""},{"dropping-particle":"","family":"Tokunaga","given":"Katsushi","non-dropping-particle":"","parse-names":false,"suffix":""},{"dropping-particle":"","family":"Ishikawa","given":"Yoshihide","non-dropping-particle":"","parse-names":false,"suffix":""},{"dropping-particle":"","family":"Kashiwase","given":"Kouichi","non-dropping-particle":"","parse-names":false,"suffix":""},{"dropping-particle":"","family":"Moriyama","given":"Satoshi","non-dropping-particle":"","parse-names":false,"suffix":""},{"dropping-particle":"","family":"Tsuchiya","given":"Naoyuki","non-dropping-particle":"","parse-names":false,"suffix":""},{"dropping-particle":"","family":"Ando","given":"Hitoshi","non-dropping-particle":"","parse-names":false,"suffix":""},{"dropping-particle":"","family":"Shiina","given":"Takashi","non-dropping-particle":"","parse-names":false,"suffix":""},{"dropping-particle":"","family":"Geraghty","given":"Daniel E.","non-dropping-particle":"","parse-names":false,"suffix":""},{"dropping-particle":"","family":"Inoko","given":"Hidetoshi","non-dropping-particle":"","parse-names":false,"suffix":""},{"dropping-particle":"","family":"Juji","given":"Takeo","non-dropping-particle":"","parse-names":false,"suffix":""}],"container-title":"Immunogenetics","id":"ITEM-1","issue":"7-8","issued":{"date-parts":[["1999"]]},"page":"620-628","title":"MIC-A polymorphism in Japanese and a MIC-A-MIC-B null haplotype","type":"article-journal","volume":"49"},"uris":["http://www.mendeley.com/documents/?uuid=b79bb694-c8f7-47f2-beef-360bb9b86943"]}],"mendeley":{"formattedCitation":"[9]","plainTextFormattedCitation":"[9]","previouslyFormattedCitation":"[9]"},"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[9]</w:t>
            </w:r>
            <w:r>
              <w:rPr>
                <w:rFonts w:ascii="Calibri" w:eastAsia="Times New Roman" w:hAnsi="Calibri" w:cs="Times New Roman"/>
                <w:color w:val="000000"/>
                <w:sz w:val="24"/>
                <w:szCs w:val="24"/>
              </w:rPr>
              <w:fldChar w:fldCharType="end"/>
            </w:r>
          </w:p>
        </w:tc>
        <w:tc>
          <w:tcPr>
            <w:tcW w:w="1188"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{"citationItems":[{"id":"ITEM-1","itemData":{"DOI":"10.1016/S0198-8859(02)00826-1","ISBN":"0198-8859 (Print)\r0198-8859 (Linking)","ISSN":"01988859","PMID":"12590984","abstract":"The MICA (MHC class I chain-related gene A) is a polymorphic gene located 46 kb centromeric of the HLA-B gene, and is preferentially expressed in epithelial cells and intestinal mucosa. The MICA gene, similar to human leukocyte antigen (HLA) class I, displays a high degree of genetic polymorphism in exons 2, 3, 4, and 5, amounting to 54 alleles. In this study, we investigated the polymorphisms at exons coding for extracellular domains (exons 2, 3, and 4), and the GCT repeat polymorphism at the transmembrane (exon 5) of MICA in 199 unrelated healthy Koreans. Eight alleles were observed in the Korean population, with allele frequencies for MICA*010, MICA*00201, MICA*027, MICA*004, MICA*012, MICA*00801, MICA*00901, and MICA*00701 being 18.3%, 17.8%, 13.6%, 12.3%, 11.1%, 10.8%, 10.6%, and 3.3%, respectively. Strong linkage disequilibria were also observed between the MICA and HLA-B gene - MICA*00201-B58, MICA*004-B44, MICA*00701-B27, MICA*00801-B60, MICA*0901-B51, MICA*010-B62, MICA*012-B54, and MICA*027-B61. In the analysis of the haplotypes of HLA class I genes (HLA-A, B, and C) and the MICA, the most common haplotype was MICA*004-A33-B44-Cw*07, followed by MICA*00201-A2-B58-Cw*0302 and MICA*012-A2-B54-Cw*0102. The MICA null haplotype might be identified in the HLA-B48 homozygous individual. These results will provide an understanding of the role of MICA in transplantation, disease association, and population analyses in Koreans. © American Society for Histocompatibility and Immunogenetics, 2003. Published by Elsevier Science Inc.","author":[{"dropping-particle":"","family":"Pyo","given":"Chul Woo","non-dropping-particle":"","parse-names":false,"suffix":""},{"dropping-particle":"","family":"Hur","given":"Seong Suk","non-dropping-particle":"","parse-names":false,"suffix":""},{"dropping-particle":"","family":"Kim","given":"Yang Kyum","non-dropping-particle":"","parse-names":false,"suffix":""},{"dropping-particle":"","family":"Choi","given":"Hee Baeg","non-dropping-particle":"","parse-names":false,"suffix":""},{"dropping-particle":"","family":"Kim","given":"Tae Yoon","non-dropping-particle":"","parse-names":false,"suffix":""},{"dropping-particle":"","family":"Kim","given":"Tai Gyu","non-dropping-particle":"","parse-names":false,"suffix":""}],"container-title":"Human Immunology","id":"ITEM-1","issue":"3","issued":{"date-parts":[["2003"]]},"page":"378-384","title":"Distribution of MICA alleles and haplotypes associated with HLA in the Korean population","type":"article-journal","volume":"64"},"uris":["http://www.mendeley.com/documents/?uuid=a541a74c-f7c9-4dc7-948e-59bcad9f79e6"]}],"mendeley":{"formattedCitation":"[10]","plainTextFormattedCitation":"[10]","previouslyFormattedCitation":"[10]"},"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[10]</w:t>
            </w:r>
            <w:r>
              <w:rPr>
                <w:rFonts w:ascii="Calibri" w:eastAsia="Times New Roman" w:hAnsi="Calibri" w:cs="Times New Roman"/>
                <w:color w:val="000000"/>
                <w:sz w:val="24"/>
                <w:szCs w:val="24"/>
              </w:rPr>
              <w:fldChar w:fldCharType="end"/>
            </w:r>
          </w:p>
        </w:tc>
        <w:tc>
          <w:tcPr>
            <w:tcW w:w="2008" w:type="dxa"/>
            <w:tcBorders>
              <w:top w:val="nil"/>
              <w:left w:val="nil"/>
              <w:bottom w:val="single" w:sz="4" w:space="0" w:color="auto"/>
              <w:right w:val="single" w:sz="4" w:space="0" w:color="auto"/>
            </w:tcBorders>
            <w:shd w:val="clear" w:color="auto" w:fill="auto"/>
            <w:noWrap/>
            <w:vAlign w:val="center"/>
            <w:hideMark/>
          </w:tcPr>
          <w:p w:rsidR="00852294" w:rsidRPr="00B250FB" w:rsidRDefault="002C5240" w:rsidP="009C5248">
            <w:pPr>
              <w:spacing w:after="0" w:line="240" w:lineRule="auto"/>
              <w:ind w:left="-284"/>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fldChar w:fldCharType="begin" w:fldLock="1"/>
            </w:r>
            <w:r w:rsidR="00852294">
              <w:rPr>
                <w:rFonts w:ascii="Calibri" w:eastAsia="Times New Roman" w:hAnsi="Calibri" w:cs="Times New Roman"/>
                <w:color w:val="000000"/>
                <w:sz w:val="24"/>
                <w:szCs w:val="24"/>
              </w:rPr>
              <w:instrText>ADDIN CSL_CITATION {"citationItems":[{"id":"ITEM-1","itemData":{"DOI":"10.1016/j.humimm.2010.01.025","ISSN":"01988859","PMID":"20097244","abstract":"The major histocompatibility complex class I chain-related gene A (MICA) in humans, located 46 kb centromeric to human leukocyte antigen (HLA)-B, is highly polymorphic. In addition to its primary role in immune surveillance, recent data highlight the importance of MICA in organ transplantation and in susceptibility to some diseases. In this study, 104 healthy, unrelated Han subjects recruited from central Inner Mongolia Autonomous Region, northern China, were investigated by sequence-based typing and fragment analysis for MICA allelic variation, MICA-HLA-B linkage disequilibrium, and HLA-A-Cw-B-MICA haplotypic diversity. Nineteen MICA alleles were observed, the most frequent of which were MICA*00801, MICA*010, MICA*00201, MICA*00901, and MICA*045, with gene frequencies of 23.08%, 18.75%, 12.02%, 12.02%, and 8.17%, respectively. The peculiarity in HLA-B-MICA haplotypic configurations was also uncovered. In particular, there was a clear-cut dichotomy between MICA*00801 and MICA*045 in their linkage to members of HLA-B*13 lineage, which was frequently represented in this population. A new MICA allele, MICA*059, was identified, which appeared to be evolutionarily linked to MICA*045. Haplotype HLA-A*30-Cw*06-B*1302-MICA*00801, previously not reported in other populations, was found with a frequency of 8.65% in this population. Our results provide new data about MICA genetic polymorphism in Chinese Han populations, which will form the basis for future studies of the potential role of MICA in allogeneic organ transplantation and disease susceptibility in related ethnic groups. © 2010 American Society for Histocompatibility and Immunogenetics.","author":[{"dropping-particle":"","family":"Tian","given":"Wei","non-dropping-particle":"","parse-names":false,"suffix":""},{"dropping-particle":"","family":"Cai","given":"Jin H.","non-dropping-particle":"","parse-names":false,"suffix":""},{"dropping-particle":"","family":"Wang","given":"Fan","non-dropping-particle":"","parse-names":false,"suffix":""},{"dropping-particle":"","family":"Li","given":"Li X.","non-dropping-particle":"","parse-names":false,"suffix":""}],"container-title":"Human Immunology","id":"ITEM-1","issue":"4","issued":{"date-parts":[["2010"]]},"page":"423-427","publisher":"Elsevier Inc.","title":"MICA polymorphism in a northern Chinese Han population: The identification of a new MICA allele, MICA*059","type":"article-journal","volume":"71"},"uris":["http://www.mendeley.com/documents/?uuid=8c067cdd-d52c-468c-b07b-f862daeb025e"]}],"mendeley":{"formattedCitation":"[11]","plainTextFormattedCitation":"[11]","previouslyFormattedCitation":"[11]"},"properties":{"noteIndex":0},"schema":"https://github.com/citation-style-language/schema/raw/master/csl-citation.json"}</w:instrText>
            </w:r>
            <w:r>
              <w:rPr>
                <w:rFonts w:ascii="Calibri" w:eastAsia="Times New Roman" w:hAnsi="Calibri" w:cs="Times New Roman"/>
                <w:color w:val="000000"/>
                <w:sz w:val="24"/>
                <w:szCs w:val="24"/>
              </w:rPr>
              <w:fldChar w:fldCharType="separate"/>
            </w:r>
            <w:r w:rsidR="00852294" w:rsidRPr="00B250FB">
              <w:rPr>
                <w:rFonts w:ascii="Calibri" w:eastAsia="Times New Roman" w:hAnsi="Calibri" w:cs="Times New Roman"/>
                <w:noProof/>
                <w:color w:val="000000"/>
                <w:sz w:val="24"/>
                <w:szCs w:val="24"/>
              </w:rPr>
              <w:t>[11]</w:t>
            </w:r>
            <w:r>
              <w:rPr>
                <w:rFonts w:ascii="Calibri" w:eastAsia="Times New Roman" w:hAnsi="Calibri" w:cs="Times New Roman"/>
                <w:color w:val="000000"/>
                <w:sz w:val="24"/>
                <w:szCs w:val="24"/>
              </w:rPr>
              <w:fldChar w:fldCharType="end"/>
            </w:r>
          </w:p>
        </w:tc>
      </w:tr>
    </w:tbl>
    <w:p w:rsidR="003A42C7" w:rsidRDefault="003A42C7" w:rsidP="009C5248">
      <w:pPr>
        <w:ind w:left="-284"/>
      </w:pPr>
    </w:p>
    <w:p w:rsidR="00852294" w:rsidRPr="003E3AAC" w:rsidRDefault="00852294" w:rsidP="003360A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Таблица 1. Распределение аллелей </w:t>
      </w:r>
      <w:r w:rsidRPr="006C3763">
        <w:rPr>
          <w:rFonts w:ascii="Times New Roman" w:hAnsi="Times New Roman" w:cs="Times New Roman"/>
          <w:i/>
          <w:sz w:val="28"/>
          <w:szCs w:val="28"/>
        </w:rPr>
        <w:t>MICA</w:t>
      </w:r>
      <w:r>
        <w:rPr>
          <w:rFonts w:ascii="Times New Roman" w:hAnsi="Times New Roman" w:cs="Times New Roman"/>
          <w:sz w:val="28"/>
          <w:szCs w:val="28"/>
        </w:rPr>
        <w:t xml:space="preserve"> в российской популяции и некоторых зарубежных странах. Частоты аллелей указаны в процентах. Во втором столбце представлены данные, полученные в рамках данной работы. Примечания: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/о» - аллель не был описан на момент исследования; * - в Японии часть аллелей (8,5%) не удалось определить; ** и *** - у некоторых доноров была обнаружена </w:t>
      </w:r>
      <w:proofErr w:type="spellStart"/>
      <w:r>
        <w:rPr>
          <w:rFonts w:ascii="Times New Roman" w:hAnsi="Times New Roman" w:cs="Times New Roman"/>
          <w:sz w:val="28"/>
          <w:szCs w:val="28"/>
        </w:rPr>
        <w:t>делеция</w:t>
      </w:r>
      <w:proofErr w:type="spellEnd"/>
      <w:r>
        <w:rPr>
          <w:rFonts w:ascii="Times New Roman" w:hAnsi="Times New Roman" w:cs="Times New Roman"/>
          <w:sz w:val="28"/>
          <w:szCs w:val="28"/>
        </w:rPr>
        <w:t xml:space="preserve"> гена </w:t>
      </w:r>
      <w:r w:rsidRPr="006C3763">
        <w:rPr>
          <w:rFonts w:ascii="Times New Roman" w:hAnsi="Times New Roman" w:cs="Times New Roman"/>
          <w:i/>
          <w:sz w:val="28"/>
          <w:szCs w:val="28"/>
        </w:rPr>
        <w:t>MICA</w:t>
      </w:r>
      <w:r>
        <w:rPr>
          <w:rFonts w:ascii="Times New Roman" w:hAnsi="Times New Roman" w:cs="Times New Roman"/>
          <w:sz w:val="28"/>
          <w:szCs w:val="28"/>
        </w:rPr>
        <w:t>, соответственно, 2,3% в Корее и 3,9% в Северном Китае.</w:t>
      </w:r>
    </w:p>
    <w:p w:rsidR="00852294" w:rsidRDefault="00852294" w:rsidP="009C5248">
      <w:pPr>
        <w:ind w:left="-284"/>
      </w:pPr>
    </w:p>
    <w:sectPr w:rsidR="00852294" w:rsidSect="003A42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2294"/>
    <w:rsid w:val="002C5240"/>
    <w:rsid w:val="003360A4"/>
    <w:rsid w:val="003A42C7"/>
    <w:rsid w:val="00852294"/>
    <w:rsid w:val="009C5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Janna-K</dc:creator>
  <cp:keywords/>
  <dc:description/>
  <cp:lastModifiedBy>Janna-K</cp:lastModifiedBy>
  <cp:revision>4</cp:revision>
  <dcterms:created xsi:type="dcterms:W3CDTF">2018-09-21T12:16:00Z</dcterms:created>
  <dcterms:modified xsi:type="dcterms:W3CDTF">2018-09-26T14:46:00Z</dcterms:modified>
</cp:coreProperties>
</file>