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88" w:rsidRPr="002D1A88" w:rsidRDefault="002D1A88" w:rsidP="002D1A88">
      <w:pPr>
        <w:widowControl w:val="0"/>
        <w:suppressAutoHyphens/>
        <w:spacing w:after="0" w:line="360" w:lineRule="auto"/>
        <w:ind w:firstLine="851"/>
        <w:jc w:val="both"/>
        <w:rPr>
          <w:rFonts w:ascii="Times New Roman" w:hAnsi="Times New Roman" w:cs="Times New Roman"/>
          <w:b/>
          <w:sz w:val="28"/>
          <w:szCs w:val="28"/>
          <w:shd w:val="clear" w:color="auto" w:fill="FFFFFF"/>
        </w:rPr>
      </w:pPr>
      <w:bookmarkStart w:id="0" w:name="_Hlk494137164"/>
      <w:bookmarkStart w:id="1" w:name="_Hlk507264589"/>
      <w:r w:rsidRPr="002D1A88">
        <w:rPr>
          <w:rFonts w:ascii="Times New Roman" w:hAnsi="Times New Roman" w:cs="Times New Roman"/>
          <w:b/>
          <w:sz w:val="28"/>
          <w:szCs w:val="28"/>
          <w:shd w:val="clear" w:color="auto" w:fill="FFFFFF"/>
        </w:rPr>
        <w:t xml:space="preserve">Введение. </w:t>
      </w:r>
    </w:p>
    <w:p w:rsidR="002D1A88" w:rsidRPr="002D1A88" w:rsidRDefault="002D1A88" w:rsidP="002D1A88">
      <w:pPr>
        <w:widowControl w:val="0"/>
        <w:suppressAutoHyphens/>
        <w:spacing w:after="0" w:line="360" w:lineRule="auto"/>
        <w:ind w:firstLine="851"/>
        <w:jc w:val="both"/>
        <w:rPr>
          <w:rFonts w:ascii="Times New Roman" w:eastAsia="SimSun" w:hAnsi="Times New Roman" w:cs="Times New Roman"/>
          <w:b/>
          <w:kern w:val="1"/>
          <w:sz w:val="28"/>
          <w:szCs w:val="28"/>
        </w:rPr>
      </w:pPr>
      <w:r w:rsidRPr="002D1A88">
        <w:rPr>
          <w:rFonts w:ascii="Times New Roman" w:hAnsi="Times New Roman" w:cs="Times New Roman"/>
          <w:sz w:val="28"/>
          <w:szCs w:val="28"/>
          <w:shd w:val="clear" w:color="auto" w:fill="FFFFFF"/>
        </w:rPr>
        <w:t>Туберкулез известен с глубокой древности. Однако, несмотря на повсеместно проводимую работу по борьбе с туберкулезом и совершенствование методов его диагностики и лечения, эпидемическая ситуация по туберкулез</w:t>
      </w:r>
      <w:r w:rsidR="004940CD">
        <w:rPr>
          <w:rFonts w:ascii="Times New Roman" w:hAnsi="Times New Roman" w:cs="Times New Roman"/>
          <w:sz w:val="28"/>
          <w:szCs w:val="28"/>
          <w:shd w:val="clear" w:color="auto" w:fill="FFFFFF"/>
        </w:rPr>
        <w:t>у остается весьма напряженной</w:t>
      </w:r>
      <w:bookmarkStart w:id="2" w:name="_GoBack"/>
      <w:bookmarkEnd w:id="2"/>
      <w:r w:rsidR="004940CD">
        <w:rPr>
          <w:rFonts w:ascii="Times New Roman" w:hAnsi="Times New Roman" w:cs="Times New Roman"/>
          <w:sz w:val="28"/>
          <w:szCs w:val="28"/>
          <w:shd w:val="clear" w:color="auto" w:fill="FFFFFF"/>
        </w:rPr>
        <w:t xml:space="preserve"> [</w:t>
      </w:r>
      <w:r w:rsidR="004940CD" w:rsidRPr="004940CD">
        <w:rPr>
          <w:rFonts w:ascii="Times New Roman" w:hAnsi="Times New Roman" w:cs="Times New Roman"/>
          <w:sz w:val="28"/>
          <w:szCs w:val="28"/>
          <w:shd w:val="clear" w:color="auto" w:fill="FFFFFF"/>
        </w:rPr>
        <w:t>2</w:t>
      </w:r>
      <w:r w:rsidRPr="002D1A88">
        <w:rPr>
          <w:rFonts w:ascii="Times New Roman" w:hAnsi="Times New Roman" w:cs="Times New Roman"/>
          <w:sz w:val="28"/>
          <w:szCs w:val="28"/>
          <w:shd w:val="clear" w:color="auto" w:fill="FFFFFF"/>
        </w:rPr>
        <w:t xml:space="preserve">, </w:t>
      </w:r>
      <w:r w:rsidR="00FA5D92">
        <w:rPr>
          <w:rFonts w:ascii="Times New Roman" w:hAnsi="Times New Roman" w:cs="Times New Roman"/>
          <w:sz w:val="28"/>
          <w:szCs w:val="28"/>
          <w:shd w:val="clear" w:color="auto" w:fill="FFFFFF"/>
        </w:rPr>
        <w:t xml:space="preserve">8, </w:t>
      </w:r>
      <w:r w:rsidR="004940CD" w:rsidRPr="004940CD">
        <w:rPr>
          <w:rFonts w:ascii="Times New Roman" w:hAnsi="Times New Roman" w:cs="Times New Roman"/>
          <w:sz w:val="28"/>
          <w:szCs w:val="28"/>
          <w:shd w:val="clear" w:color="auto" w:fill="FFFFFF"/>
        </w:rPr>
        <w:t>18</w:t>
      </w:r>
      <w:r w:rsidRPr="002D1A88">
        <w:rPr>
          <w:rFonts w:ascii="Times New Roman" w:hAnsi="Times New Roman" w:cs="Times New Roman"/>
          <w:sz w:val="28"/>
          <w:szCs w:val="28"/>
          <w:shd w:val="clear" w:color="auto" w:fill="FFFFFF"/>
        </w:rPr>
        <w:t>].</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Согласно оценкам Всемирной организации здравоохранения (ВОЗ), в 2015 г. туберкулезом заболело 10,4 млн. человек, в т.ч. 5,9 млн. (56,0%) мужчин, 3,5 млн. (34,0%) женщин и 1,0 млн. (10,0%) детей. Более половины новых случаев (60,0%) заболевания приходится на шесть стран: Индию, Индонезию, Китай, Ниг</w:t>
      </w:r>
      <w:r w:rsidR="004940CD">
        <w:rPr>
          <w:rFonts w:ascii="Times New Roman" w:hAnsi="Times New Roman" w:cs="Times New Roman"/>
          <w:sz w:val="28"/>
          <w:szCs w:val="28"/>
        </w:rPr>
        <w:t>ерию, Пакистан и Южную Африку [21</w:t>
      </w:r>
      <w:r w:rsidRPr="002D1A88">
        <w:rPr>
          <w:rFonts w:ascii="Times New Roman" w:hAnsi="Times New Roman" w:cs="Times New Roman"/>
          <w:sz w:val="28"/>
          <w:szCs w:val="28"/>
        </w:rPr>
        <w:t>].  С 2014 по 2015 годы темпы снижения заболеваемости ТБ составили во всем мире лишь 1,5%. В 2015 г. от туберкулеза умерло около 1,4 млн. человек.  Отмечено, что в период с 2000 по 2015 гг. численность умерших от ТБ сократилась на 22,0%, однако и до настоящего времени во всем мире туберкулезная инфекция остается одной из 1</w:t>
      </w:r>
      <w:r w:rsidR="004940CD">
        <w:rPr>
          <w:rFonts w:ascii="Times New Roman" w:hAnsi="Times New Roman" w:cs="Times New Roman"/>
          <w:sz w:val="28"/>
          <w:szCs w:val="28"/>
        </w:rPr>
        <w:t>0 ведущих причин смерти людей [19]</w:t>
      </w:r>
      <w:r w:rsidRPr="002D1A88">
        <w:rPr>
          <w:rFonts w:ascii="Times New Roman" w:hAnsi="Times New Roman" w:cs="Times New Roman"/>
          <w:sz w:val="28"/>
          <w:szCs w:val="28"/>
        </w:rPr>
        <w:t>.</w:t>
      </w:r>
    </w:p>
    <w:p w:rsidR="002D1A88" w:rsidRPr="002D1A88" w:rsidRDefault="002D1A88" w:rsidP="002D1A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2D1A88">
        <w:rPr>
          <w:rFonts w:ascii="Times New Roman" w:hAnsi="Times New Roman" w:cs="Times New Roman"/>
          <w:sz w:val="28"/>
          <w:szCs w:val="28"/>
          <w:shd w:val="clear" w:color="auto" w:fill="FFFFFF"/>
        </w:rPr>
        <w:t xml:space="preserve">Осуществлять контроль за распространением туберкулезной инфекции без раннего выявления заболевания не представляется возможным </w:t>
      </w:r>
      <w:r w:rsidR="00EC6613">
        <w:rPr>
          <w:rFonts w:ascii="Times New Roman" w:eastAsia="Times New Roman" w:hAnsi="Times New Roman" w:cs="Times New Roman"/>
          <w:sz w:val="28"/>
          <w:szCs w:val="28"/>
          <w:lang w:eastAsia="ru-RU"/>
        </w:rPr>
        <w:t>[11</w:t>
      </w:r>
      <w:r w:rsidR="009371F1">
        <w:rPr>
          <w:rFonts w:ascii="Times New Roman" w:eastAsia="Times New Roman" w:hAnsi="Times New Roman" w:cs="Times New Roman"/>
          <w:sz w:val="28"/>
          <w:szCs w:val="28"/>
          <w:lang w:eastAsia="ru-RU"/>
        </w:rPr>
        <w:t>, 14</w:t>
      </w:r>
      <w:r w:rsidRPr="002D1A88">
        <w:rPr>
          <w:rFonts w:ascii="Times New Roman" w:eastAsia="Times New Roman" w:hAnsi="Times New Roman" w:cs="Times New Roman"/>
          <w:sz w:val="28"/>
          <w:szCs w:val="28"/>
          <w:lang w:eastAsia="ru-RU"/>
        </w:rPr>
        <w:t>].</w:t>
      </w:r>
    </w:p>
    <w:p w:rsidR="002D1A88" w:rsidRPr="002D1A88" w:rsidRDefault="002D1A88" w:rsidP="002D1A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t xml:space="preserve">Латентная, или скрытая, туберкулезная инфекция является закономерным этапом развития инфекционного процесса в организме, который сопровождается персистированием </w:t>
      </w:r>
      <w:r w:rsidRPr="002D1A88">
        <w:rPr>
          <w:rFonts w:ascii="Times New Roman" w:eastAsia="Times New Roman" w:hAnsi="Times New Roman" w:cs="Times New Roman"/>
          <w:i/>
          <w:sz w:val="28"/>
          <w:szCs w:val="28"/>
          <w:lang w:eastAsia="ru-RU"/>
        </w:rPr>
        <w:t>M.tuberculosis</w:t>
      </w:r>
      <w:r w:rsidRPr="002D1A88">
        <w:rPr>
          <w:rFonts w:ascii="Times New Roman" w:eastAsia="Times New Roman" w:hAnsi="Times New Roman" w:cs="Times New Roman"/>
          <w:sz w:val="28"/>
          <w:szCs w:val="28"/>
          <w:lang w:eastAsia="ru-RU"/>
        </w:rPr>
        <w:t xml:space="preserve"> в организме и характеризуется длительным бессимптомным пребыванием возбудителя с сохранением его патогенетических свойств, способности к размножению и реверсии, о чем писали Dienes L. и Parish N.</w:t>
      </w:r>
      <w:r w:rsidR="00EC6613">
        <w:rPr>
          <w:rFonts w:ascii="Times New Roman" w:eastAsia="Times New Roman" w:hAnsi="Times New Roman" w:cs="Times New Roman"/>
          <w:sz w:val="28"/>
          <w:szCs w:val="28"/>
          <w:lang w:eastAsia="ru-RU"/>
        </w:rPr>
        <w:t>M.  еще в середине и конце XX ве</w:t>
      </w:r>
      <w:r w:rsidRPr="002D1A88">
        <w:rPr>
          <w:rFonts w:ascii="Times New Roman" w:eastAsia="Times New Roman" w:hAnsi="Times New Roman" w:cs="Times New Roman"/>
          <w:sz w:val="28"/>
          <w:szCs w:val="28"/>
          <w:lang w:eastAsia="ru-RU"/>
        </w:rPr>
        <w:t xml:space="preserve">ка. </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shd w:val="clear" w:color="auto" w:fill="FFFFFF"/>
          <w:lang w:eastAsia="ru-RU"/>
        </w:rPr>
        <w:t>В последние годы к диагностике латентной туберкулезной инфекции (ЛТИ) приковано особое внимание, в том числе благодаря внедрению различных иммунологических методов определения акти</w:t>
      </w:r>
      <w:r w:rsidR="00EC6613">
        <w:rPr>
          <w:rFonts w:ascii="Times New Roman" w:eastAsia="Times New Roman" w:hAnsi="Times New Roman" w:cs="Times New Roman"/>
          <w:sz w:val="28"/>
          <w:szCs w:val="28"/>
          <w:shd w:val="clear" w:color="auto" w:fill="FFFFFF"/>
          <w:lang w:eastAsia="ru-RU"/>
        </w:rPr>
        <w:t>вности туберкулезной инфекции [3, 4, 17</w:t>
      </w:r>
      <w:r w:rsidRPr="002D1A88">
        <w:rPr>
          <w:rFonts w:ascii="Times New Roman" w:eastAsia="Times New Roman" w:hAnsi="Times New Roman" w:cs="Times New Roman"/>
          <w:sz w:val="28"/>
          <w:szCs w:val="28"/>
          <w:shd w:val="clear" w:color="auto" w:fill="FFFFFF"/>
          <w:lang w:eastAsia="ru-RU"/>
        </w:rPr>
        <w:t>].</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lastRenderedPageBreak/>
        <w:t xml:space="preserve">Революцией в разработке новых методов иммунологической диагностики стала расшифровка генома микобактерий туберкулеза, в котором закодировано более 4000 белков. Была выделена группа белков, экспрессирующихся при размножении микобактерий, кодируемых в зоне </w:t>
      </w:r>
      <w:r w:rsidRPr="002D1A88">
        <w:rPr>
          <w:rFonts w:ascii="Times New Roman" w:eastAsia="Times New Roman" w:hAnsi="Times New Roman" w:cs="Times New Roman"/>
          <w:sz w:val="28"/>
          <w:szCs w:val="28"/>
          <w:lang w:val="en-US" w:eastAsia="ru-RU"/>
        </w:rPr>
        <w:t>RDI</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region</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of</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difference</w:t>
      </w:r>
      <w:r w:rsidRPr="002D1A88">
        <w:rPr>
          <w:rFonts w:ascii="Times New Roman" w:eastAsia="Times New Roman" w:hAnsi="Times New Roman" w:cs="Times New Roman"/>
          <w:sz w:val="28"/>
          <w:szCs w:val="28"/>
          <w:lang w:eastAsia="ru-RU"/>
        </w:rPr>
        <w:t xml:space="preserve">), названных </w:t>
      </w:r>
      <w:r w:rsidRPr="002D1A88">
        <w:rPr>
          <w:rFonts w:ascii="Times New Roman" w:eastAsia="Times New Roman" w:hAnsi="Times New Roman" w:cs="Times New Roman"/>
          <w:sz w:val="28"/>
          <w:szCs w:val="28"/>
          <w:lang w:val="en-US" w:eastAsia="ru-RU"/>
        </w:rPr>
        <w:t>ESAT</w:t>
      </w:r>
      <w:r w:rsidRPr="002D1A88">
        <w:rPr>
          <w:rFonts w:ascii="Times New Roman" w:eastAsia="Times New Roman" w:hAnsi="Times New Roman" w:cs="Times New Roman"/>
          <w:sz w:val="28"/>
          <w:szCs w:val="28"/>
          <w:lang w:eastAsia="ru-RU"/>
        </w:rPr>
        <w:t xml:space="preserve">-6 и </w:t>
      </w:r>
      <w:r w:rsidRPr="002D1A88">
        <w:rPr>
          <w:rFonts w:ascii="Times New Roman" w:eastAsia="Times New Roman" w:hAnsi="Times New Roman" w:cs="Times New Roman"/>
          <w:sz w:val="28"/>
          <w:szCs w:val="28"/>
          <w:lang w:val="en-US" w:eastAsia="ru-RU"/>
        </w:rPr>
        <w:t>CFP</w:t>
      </w:r>
      <w:r w:rsidRPr="002D1A88">
        <w:rPr>
          <w:rFonts w:ascii="Times New Roman" w:eastAsia="Times New Roman" w:hAnsi="Times New Roman" w:cs="Times New Roman"/>
          <w:sz w:val="28"/>
          <w:szCs w:val="28"/>
          <w:lang w:eastAsia="ru-RU"/>
        </w:rPr>
        <w:t xml:space="preserve">-10, что позволило разработать новые высокоинформативные иммунологические тесты </w:t>
      </w:r>
      <w:r w:rsidRPr="002D1A88">
        <w:rPr>
          <w:rFonts w:ascii="Times New Roman" w:eastAsia="Times New Roman" w:hAnsi="Times New Roman" w:cs="Times New Roman"/>
          <w:sz w:val="28"/>
          <w:szCs w:val="28"/>
          <w:lang w:val="en-US" w:eastAsia="ru-RU"/>
        </w:rPr>
        <w:t>in</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vitro</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IGRA</w:t>
      </w:r>
      <w:r w:rsidRPr="002D1A88">
        <w:rPr>
          <w:rFonts w:ascii="Times New Roman" w:eastAsia="Times New Roman" w:hAnsi="Times New Roman" w:cs="Times New Roman"/>
          <w:sz w:val="28"/>
          <w:szCs w:val="28"/>
          <w:lang w:eastAsia="ru-RU"/>
        </w:rPr>
        <w:t xml:space="preserve">–тесты: </w:t>
      </w:r>
      <w:r w:rsidRPr="002D1A88">
        <w:rPr>
          <w:rFonts w:ascii="Times New Roman" w:eastAsia="Times New Roman" w:hAnsi="Times New Roman" w:cs="Times New Roman"/>
          <w:sz w:val="28"/>
          <w:szCs w:val="28"/>
          <w:lang w:val="en-US" w:eastAsia="ru-RU"/>
        </w:rPr>
        <w:t>QuantiFERON</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QFT</w:t>
      </w:r>
      <w:r w:rsidRPr="002D1A88">
        <w:rPr>
          <w:rFonts w:ascii="Times New Roman" w:eastAsia="Times New Roman" w:hAnsi="Times New Roman" w:cs="Times New Roman"/>
          <w:sz w:val="28"/>
          <w:szCs w:val="28"/>
          <w:lang w:eastAsia="ru-RU"/>
        </w:rPr>
        <w:t>)</w:t>
      </w:r>
      <w:r w:rsidRPr="002D1A88">
        <w:rPr>
          <w:rFonts w:ascii="Times New Roman" w:eastAsia="Times New Roman" w:hAnsi="Times New Roman" w:cs="Times New Roman"/>
          <w:b/>
          <w:sz w:val="28"/>
          <w:szCs w:val="28"/>
          <w:lang w:eastAsia="ru-RU"/>
        </w:rPr>
        <w:t>-</w:t>
      </w:r>
      <w:r w:rsidRPr="002D1A88">
        <w:rPr>
          <w:rFonts w:ascii="Times New Roman" w:eastAsia="Times New Roman" w:hAnsi="Times New Roman" w:cs="Times New Roman"/>
          <w:sz w:val="28"/>
          <w:szCs w:val="28"/>
          <w:lang w:val="en-US" w:eastAsia="ru-RU"/>
        </w:rPr>
        <w:t>TB</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bCs/>
          <w:sz w:val="28"/>
          <w:szCs w:val="28"/>
          <w:lang w:val="en-GB" w:eastAsia="ru-RU"/>
        </w:rPr>
        <w:t>T</w:t>
      </w:r>
      <w:r w:rsidRPr="002D1A88">
        <w:rPr>
          <w:rFonts w:ascii="Times New Roman" w:eastAsia="Times New Roman" w:hAnsi="Times New Roman" w:cs="Times New Roman"/>
          <w:bCs/>
          <w:sz w:val="28"/>
          <w:szCs w:val="28"/>
          <w:lang w:eastAsia="ru-RU"/>
        </w:rPr>
        <w:t>-</w:t>
      </w:r>
      <w:r w:rsidRPr="002D1A88">
        <w:rPr>
          <w:rFonts w:ascii="Times New Roman" w:eastAsia="Times New Roman" w:hAnsi="Times New Roman" w:cs="Times New Roman"/>
          <w:bCs/>
          <w:sz w:val="28"/>
          <w:szCs w:val="28"/>
          <w:lang w:val="en-GB" w:eastAsia="ru-RU"/>
        </w:rPr>
        <w:t>SPOT</w:t>
      </w:r>
      <w:r w:rsidRPr="002D1A88">
        <w:rPr>
          <w:rFonts w:ascii="Times New Roman" w:eastAsia="Times New Roman" w:hAnsi="Times New Roman" w:cs="Times New Roman"/>
          <w:bCs/>
          <w:sz w:val="28"/>
          <w:szCs w:val="28"/>
          <w:lang w:eastAsia="ru-RU"/>
        </w:rPr>
        <w:t>.</w:t>
      </w:r>
      <w:r w:rsidRPr="002D1A88">
        <w:rPr>
          <w:rFonts w:ascii="Times New Roman" w:eastAsia="Times New Roman" w:hAnsi="Times New Roman" w:cs="Times New Roman"/>
          <w:bCs/>
          <w:i/>
          <w:iCs/>
          <w:sz w:val="28"/>
          <w:szCs w:val="28"/>
          <w:lang w:val="en-GB" w:eastAsia="ru-RU"/>
        </w:rPr>
        <w:t>TB</w:t>
      </w:r>
      <w:r w:rsidRPr="002D1A88">
        <w:rPr>
          <w:rFonts w:ascii="Times New Roman" w:eastAsia="Times New Roman" w:hAnsi="Times New Roman" w:cs="Times New Roman"/>
          <w:bCs/>
          <w:i/>
          <w:iCs/>
          <w:sz w:val="28"/>
          <w:szCs w:val="28"/>
          <w:lang w:eastAsia="ru-RU"/>
        </w:rPr>
        <w:t xml:space="preserve"> </w:t>
      </w:r>
      <w:r w:rsidRPr="002D1A88">
        <w:rPr>
          <w:rFonts w:ascii="Times New Roman" w:eastAsia="Times New Roman" w:hAnsi="Times New Roman" w:cs="Times New Roman"/>
          <w:bCs/>
          <w:iCs/>
          <w:sz w:val="28"/>
          <w:szCs w:val="28"/>
          <w:lang w:eastAsia="ru-RU"/>
        </w:rPr>
        <w:t>тест</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IP</w:t>
      </w:r>
      <w:r w:rsidRPr="002D1A88">
        <w:rPr>
          <w:rFonts w:ascii="Times New Roman" w:eastAsia="Times New Roman" w:hAnsi="Times New Roman" w:cs="Times New Roman"/>
          <w:sz w:val="28"/>
          <w:szCs w:val="28"/>
          <w:lang w:eastAsia="ru-RU"/>
        </w:rPr>
        <w:t xml:space="preserve">-10) и </w:t>
      </w:r>
      <w:r w:rsidRPr="002D1A88">
        <w:rPr>
          <w:rFonts w:ascii="Times New Roman" w:eastAsia="Times New Roman" w:hAnsi="Times New Roman" w:cs="Times New Roman"/>
          <w:sz w:val="28"/>
          <w:szCs w:val="28"/>
          <w:lang w:val="en-US" w:eastAsia="ru-RU"/>
        </w:rPr>
        <w:t>in</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vivo</w:t>
      </w:r>
      <w:r w:rsidRPr="002D1A88">
        <w:rPr>
          <w:rFonts w:ascii="Times New Roman" w:eastAsia="Times New Roman" w:hAnsi="Times New Roman" w:cs="Times New Roman"/>
          <w:sz w:val="28"/>
          <w:szCs w:val="28"/>
          <w:lang w:eastAsia="ru-RU"/>
        </w:rPr>
        <w:t xml:space="preserve"> (с туберкулином, с аллергеном туберкулезным рекомбинантным (проба с Диаскинтестом</w:t>
      </w:r>
      <w:r w:rsidRPr="002D1A88">
        <w:rPr>
          <w:rFonts w:ascii="Times New Roman" w:eastAsia="Times New Roman" w:hAnsi="Times New Roman" w:cs="Times New Roman"/>
          <w:b/>
          <w:sz w:val="28"/>
          <w:szCs w:val="28"/>
          <w:vertAlign w:val="superscript"/>
          <w:lang w:eastAsia="ru-RU"/>
        </w:rPr>
        <w:t>®</w:t>
      </w:r>
      <w:r w:rsidR="00A26BB9">
        <w:rPr>
          <w:rFonts w:ascii="Times New Roman" w:eastAsia="Times New Roman" w:hAnsi="Times New Roman" w:cs="Times New Roman"/>
          <w:sz w:val="28"/>
          <w:szCs w:val="28"/>
          <w:lang w:eastAsia="ru-RU"/>
        </w:rPr>
        <w:t>)) [7</w:t>
      </w:r>
      <w:r w:rsidR="00CC68BA">
        <w:rPr>
          <w:rFonts w:ascii="Times New Roman" w:eastAsia="Times New Roman" w:hAnsi="Times New Roman" w:cs="Times New Roman"/>
          <w:sz w:val="28"/>
          <w:szCs w:val="28"/>
          <w:lang w:eastAsia="ru-RU"/>
        </w:rPr>
        <w:t>, 9</w:t>
      </w:r>
      <w:r w:rsidRPr="002D1A88">
        <w:rPr>
          <w:rFonts w:ascii="Times New Roman" w:eastAsia="Times New Roman" w:hAnsi="Times New Roman" w:cs="Times New Roman"/>
          <w:sz w:val="28"/>
          <w:szCs w:val="28"/>
          <w:lang w:eastAsia="ru-RU"/>
        </w:rPr>
        <w:t xml:space="preserve">].  </w:t>
      </w:r>
    </w:p>
    <w:p w:rsidR="002D1A88" w:rsidRPr="002D1A88" w:rsidRDefault="002D1A88" w:rsidP="002D1A88">
      <w:pPr>
        <w:spacing w:after="200" w:line="360" w:lineRule="auto"/>
        <w:jc w:val="both"/>
        <w:rPr>
          <w:rFonts w:ascii="Times New Roman" w:hAnsi="Times New Roman" w:cs="Times New Roman"/>
          <w:sz w:val="28"/>
          <w:szCs w:val="28"/>
        </w:rPr>
      </w:pPr>
      <w:r w:rsidRPr="002D1A88">
        <w:rPr>
          <w:rFonts w:ascii="Times New Roman" w:eastAsia="Calibri" w:hAnsi="Times New Roman" w:cs="Times New Roman"/>
          <w:sz w:val="28"/>
          <w:szCs w:val="28"/>
        </w:rPr>
        <w:t xml:space="preserve">      По мнению ряда авторов, лабораторные тесты QuantiFERON-TB Gold/ QuantiFERON-TB Gold In-Tube и ELISPOT/T-SPOT.TB должны дополнять туберкулинодиагностику,</w:t>
      </w:r>
      <w:r w:rsidRPr="002D1A88">
        <w:rPr>
          <w:rFonts w:ascii="Times New Roman" w:eastAsia="Calibri" w:hAnsi="Times New Roman" w:cs="Times New Roman"/>
          <w:sz w:val="28"/>
          <w:szCs w:val="28"/>
          <w:lang w:eastAsia="ru-RU"/>
        </w:rPr>
        <w:t xml:space="preserve"> </w:t>
      </w:r>
      <w:r w:rsidRPr="002D1A88">
        <w:rPr>
          <w:rFonts w:ascii="Times New Roman" w:eastAsia="Calibri" w:hAnsi="Times New Roman" w:cs="Times New Roman"/>
          <w:sz w:val="28"/>
          <w:szCs w:val="28"/>
        </w:rPr>
        <w:t xml:space="preserve">в первую очередь, для идентификации ложноотрицательных результатов выявления латентной туберкулезной инфекции, активного туберкулеза и новых случаев туберкулеза у больных при проведении терапии ингибиторами ФНО-α, особенно в странах с умеренной и высокой распространенностью туберкулеза, а также могут служить полезными инструментами для скрининга и мониторинга латентной туберкулезной инфекции в комбинации с внутрикожной туберкулиновой пробой Манту с 2 </w:t>
      </w:r>
      <w:r w:rsidRPr="00EB101B">
        <w:rPr>
          <w:rFonts w:ascii="Times New Roman" w:eastAsia="Calibri" w:hAnsi="Times New Roman" w:cs="Times New Roman"/>
          <w:sz w:val="28"/>
          <w:szCs w:val="28"/>
        </w:rPr>
        <w:t>ТЕ [</w:t>
      </w:r>
      <w:r w:rsidR="00EB101B" w:rsidRPr="00EB101B">
        <w:rPr>
          <w:rFonts w:ascii="Times New Roman" w:eastAsia="Calibri" w:hAnsi="Times New Roman" w:cs="Times New Roman"/>
          <w:sz w:val="28"/>
          <w:szCs w:val="28"/>
        </w:rPr>
        <w:t>7</w:t>
      </w:r>
      <w:r w:rsidRPr="00EB101B">
        <w:rPr>
          <w:rFonts w:ascii="Times New Roman" w:eastAsia="Calibri" w:hAnsi="Times New Roman" w:cs="Times New Roman"/>
          <w:sz w:val="28"/>
          <w:szCs w:val="28"/>
        </w:rPr>
        <w:t>, 13</w:t>
      </w:r>
      <w:r w:rsidR="00EB101B" w:rsidRPr="00EB101B">
        <w:rPr>
          <w:rFonts w:ascii="Times New Roman" w:eastAsia="Calibri" w:hAnsi="Times New Roman" w:cs="Times New Roman"/>
          <w:sz w:val="28"/>
          <w:szCs w:val="28"/>
        </w:rPr>
        <w:t>, 15</w:t>
      </w:r>
      <w:r w:rsidRPr="00EB101B">
        <w:rPr>
          <w:rFonts w:ascii="Times New Roman" w:eastAsia="Calibri" w:hAnsi="Times New Roman" w:cs="Times New Roman"/>
          <w:sz w:val="28"/>
          <w:szCs w:val="28"/>
        </w:rPr>
        <w:t>]</w:t>
      </w:r>
      <w:r w:rsidR="00EE0A9F" w:rsidRPr="00EB101B">
        <w:rPr>
          <w:rFonts w:ascii="Times New Roman" w:eastAsia="Calibri" w:hAnsi="Times New Roman" w:cs="Times New Roman"/>
          <w:sz w:val="28"/>
          <w:szCs w:val="28"/>
        </w:rPr>
        <w:t>.</w:t>
      </w:r>
    </w:p>
    <w:p w:rsidR="002D1A88" w:rsidRPr="002D1A88" w:rsidRDefault="002D1A88" w:rsidP="002D1A88">
      <w:pPr>
        <w:spacing w:after="200" w:line="360" w:lineRule="auto"/>
        <w:jc w:val="both"/>
        <w:rPr>
          <w:rFonts w:ascii="Times New Roman" w:eastAsia="Calibri" w:hAnsi="Times New Roman" w:cs="Times New Roman"/>
          <w:sz w:val="28"/>
          <w:szCs w:val="28"/>
          <w:lang w:eastAsia="ru-RU"/>
        </w:rPr>
      </w:pPr>
      <w:r w:rsidRPr="002D1A88">
        <w:rPr>
          <w:rFonts w:ascii="Times New Roman" w:eastAsia="Calibri" w:hAnsi="Times New Roman" w:cs="Times New Roman"/>
          <w:sz w:val="28"/>
          <w:szCs w:val="28"/>
        </w:rPr>
        <w:t xml:space="preserve">      В России на основе белков, кодируемых в зоне </w:t>
      </w:r>
      <w:r w:rsidRPr="002D1A88">
        <w:rPr>
          <w:rFonts w:ascii="Times New Roman" w:eastAsia="Calibri" w:hAnsi="Times New Roman" w:cs="Times New Roman"/>
          <w:sz w:val="28"/>
          <w:szCs w:val="28"/>
          <w:lang w:val="en-US"/>
        </w:rPr>
        <w:t>RDI</w:t>
      </w:r>
      <w:r w:rsidRPr="002D1A88">
        <w:rPr>
          <w:rFonts w:ascii="Times New Roman" w:eastAsia="Calibri" w:hAnsi="Times New Roman" w:cs="Times New Roman"/>
          <w:sz w:val="28"/>
          <w:szCs w:val="28"/>
        </w:rPr>
        <w:t>, в 2006 году был разработан новый диагностический препарат Диаскинтест</w:t>
      </w:r>
      <w:r w:rsidRPr="002D1A88">
        <w:rPr>
          <w:rFonts w:ascii="Times New Roman" w:eastAsia="Calibri" w:hAnsi="Times New Roman" w:cs="Times New Roman"/>
          <w:sz w:val="28"/>
          <w:szCs w:val="28"/>
          <w:vertAlign w:val="superscript"/>
        </w:rPr>
        <w:t>®</w:t>
      </w:r>
      <w:r w:rsidRPr="002D1A88">
        <w:rPr>
          <w:rFonts w:ascii="Times New Roman" w:eastAsia="Calibri" w:hAnsi="Times New Roman" w:cs="Times New Roman"/>
          <w:sz w:val="28"/>
          <w:szCs w:val="28"/>
        </w:rPr>
        <w:t xml:space="preserve">, который представляет собой рекомбинантный белок </w:t>
      </w:r>
      <w:r w:rsidRPr="002D1A88">
        <w:rPr>
          <w:rFonts w:ascii="Times New Roman" w:eastAsia="Calibri" w:hAnsi="Times New Roman" w:cs="Times New Roman"/>
          <w:sz w:val="28"/>
          <w:szCs w:val="28"/>
          <w:lang w:val="en-US"/>
        </w:rPr>
        <w:t>CFP</w:t>
      </w:r>
      <w:r w:rsidRPr="002D1A88">
        <w:rPr>
          <w:rFonts w:ascii="Times New Roman" w:eastAsia="Calibri" w:hAnsi="Times New Roman" w:cs="Times New Roman"/>
          <w:sz w:val="28"/>
          <w:szCs w:val="28"/>
        </w:rPr>
        <w:t>-10-</w:t>
      </w:r>
      <w:r w:rsidRPr="002D1A88">
        <w:rPr>
          <w:rFonts w:ascii="Times New Roman" w:eastAsia="Calibri" w:hAnsi="Times New Roman" w:cs="Times New Roman"/>
          <w:sz w:val="28"/>
          <w:szCs w:val="28"/>
          <w:lang w:val="en-US"/>
        </w:rPr>
        <w:t>ESAT</w:t>
      </w:r>
      <w:r w:rsidRPr="002D1A88">
        <w:rPr>
          <w:rFonts w:ascii="Times New Roman" w:eastAsia="Calibri" w:hAnsi="Times New Roman" w:cs="Times New Roman"/>
          <w:sz w:val="28"/>
          <w:szCs w:val="28"/>
        </w:rPr>
        <w:t xml:space="preserve">-6, продуцируемый </w:t>
      </w:r>
      <w:r w:rsidRPr="002D1A88">
        <w:rPr>
          <w:rFonts w:ascii="Times New Roman" w:eastAsia="Calibri" w:hAnsi="Times New Roman" w:cs="Times New Roman"/>
          <w:i/>
          <w:sz w:val="28"/>
          <w:szCs w:val="28"/>
          <w:lang w:val="en-US"/>
        </w:rPr>
        <w:t>Escherichia</w:t>
      </w:r>
      <w:r w:rsidRPr="002D1A88">
        <w:rPr>
          <w:rFonts w:ascii="Times New Roman" w:eastAsia="Calibri" w:hAnsi="Times New Roman" w:cs="Times New Roman"/>
          <w:i/>
          <w:sz w:val="28"/>
          <w:szCs w:val="28"/>
        </w:rPr>
        <w:t xml:space="preserve"> </w:t>
      </w:r>
      <w:r w:rsidRPr="002D1A88">
        <w:rPr>
          <w:rFonts w:ascii="Times New Roman" w:eastAsia="Calibri" w:hAnsi="Times New Roman" w:cs="Times New Roman"/>
          <w:i/>
          <w:sz w:val="28"/>
          <w:szCs w:val="28"/>
          <w:lang w:val="en-US"/>
        </w:rPr>
        <w:t>coli</w:t>
      </w:r>
      <w:r w:rsidRPr="002D1A88">
        <w:rPr>
          <w:rFonts w:ascii="Times New Roman" w:eastAsia="Calibri" w:hAnsi="Times New Roman" w:cs="Times New Roman"/>
          <w:sz w:val="28"/>
          <w:szCs w:val="28"/>
        </w:rPr>
        <w:t xml:space="preserve">. Основным механизмом действия теста также является формирование реакции гиперчувствительности замедленного типа.  При этом белок </w:t>
      </w:r>
      <w:r w:rsidRPr="002D1A88">
        <w:rPr>
          <w:rFonts w:ascii="Times New Roman" w:eastAsia="Calibri" w:hAnsi="Times New Roman" w:cs="Times New Roman"/>
          <w:sz w:val="28"/>
          <w:szCs w:val="28"/>
          <w:lang w:val="en-US"/>
        </w:rPr>
        <w:t>CFP</w:t>
      </w:r>
      <w:r w:rsidRPr="002D1A88">
        <w:rPr>
          <w:rFonts w:ascii="Times New Roman" w:eastAsia="Calibri" w:hAnsi="Times New Roman" w:cs="Times New Roman"/>
          <w:sz w:val="28"/>
          <w:szCs w:val="28"/>
        </w:rPr>
        <w:t>-10-</w:t>
      </w:r>
      <w:r w:rsidRPr="002D1A88">
        <w:rPr>
          <w:rFonts w:ascii="Times New Roman" w:eastAsia="Calibri" w:hAnsi="Times New Roman" w:cs="Times New Roman"/>
          <w:sz w:val="28"/>
          <w:szCs w:val="28"/>
          <w:lang w:val="en-US"/>
        </w:rPr>
        <w:t>ESAT</w:t>
      </w:r>
      <w:r w:rsidRPr="002D1A88">
        <w:rPr>
          <w:rFonts w:ascii="Times New Roman" w:eastAsia="Calibri" w:hAnsi="Times New Roman" w:cs="Times New Roman"/>
          <w:sz w:val="28"/>
          <w:szCs w:val="28"/>
        </w:rPr>
        <w:t xml:space="preserve">-6 не обладает сенсибилизирующей активностью и не токсичен. </w:t>
      </w:r>
      <w:r w:rsidRPr="002D1A88">
        <w:rPr>
          <w:rFonts w:ascii="Times New Roman" w:eastAsia="Calibri" w:hAnsi="Times New Roman" w:cs="Times New Roman"/>
          <w:sz w:val="28"/>
          <w:szCs w:val="28"/>
          <w:lang w:eastAsia="ru-RU"/>
        </w:rPr>
        <w:t>Высокая диагностическая ценность пробы с Диаскинтестом (ДСТ) подтверждается во многих российских исследованиях [</w:t>
      </w:r>
      <w:r w:rsidR="00EB101B">
        <w:rPr>
          <w:rFonts w:ascii="Times New Roman" w:eastAsia="Calibri" w:hAnsi="Times New Roman" w:cs="Times New Roman"/>
          <w:sz w:val="28"/>
          <w:szCs w:val="28"/>
          <w:lang w:eastAsia="ru-RU"/>
        </w:rPr>
        <w:t>3, 4, 10</w:t>
      </w:r>
      <w:r w:rsidRPr="002D1A88">
        <w:rPr>
          <w:rFonts w:ascii="Times New Roman" w:eastAsia="Calibri" w:hAnsi="Times New Roman" w:cs="Times New Roman"/>
          <w:sz w:val="28"/>
          <w:szCs w:val="28"/>
        </w:rPr>
        <w:t>].</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t xml:space="preserve">Однако применение данных иммунологических методов не позволило проводить дифференциальную диагностику между латентной туберкулезной </w:t>
      </w:r>
      <w:r w:rsidRPr="002D1A88">
        <w:rPr>
          <w:rFonts w:ascii="Times New Roman" w:eastAsia="Times New Roman" w:hAnsi="Times New Roman" w:cs="Times New Roman"/>
          <w:sz w:val="28"/>
          <w:szCs w:val="28"/>
          <w:lang w:eastAsia="ru-RU"/>
        </w:rPr>
        <w:lastRenderedPageBreak/>
        <w:t xml:space="preserve">инфекцией и активным туберкулезом, так как тесты показывают положительный результат в обоих случаях </w:t>
      </w:r>
      <w:r w:rsidRPr="002D1A88">
        <w:rPr>
          <w:rFonts w:ascii="Times New Roman" w:eastAsia="Calibri" w:hAnsi="Times New Roman" w:cs="Times New Roman"/>
          <w:sz w:val="28"/>
          <w:szCs w:val="28"/>
          <w:lang w:eastAsia="ru-RU"/>
        </w:rPr>
        <w:t>[</w:t>
      </w:r>
      <w:r w:rsidR="00EB101B">
        <w:rPr>
          <w:rFonts w:ascii="Times New Roman" w:eastAsia="Calibri" w:hAnsi="Times New Roman" w:cs="Times New Roman"/>
          <w:sz w:val="28"/>
          <w:szCs w:val="28"/>
          <w:lang w:eastAsia="ru-RU"/>
        </w:rPr>
        <w:t>1, 12</w:t>
      </w:r>
      <w:r w:rsidRPr="002D1A88">
        <w:rPr>
          <w:rFonts w:ascii="Times New Roman" w:eastAsia="Calibri" w:hAnsi="Times New Roman" w:cs="Times New Roman"/>
          <w:sz w:val="28"/>
          <w:szCs w:val="28"/>
          <w:lang w:eastAsia="ru-RU"/>
        </w:rPr>
        <w:t xml:space="preserve">, </w:t>
      </w:r>
      <w:r w:rsidR="00EB101B">
        <w:rPr>
          <w:rFonts w:ascii="Times New Roman" w:eastAsia="Calibri" w:hAnsi="Times New Roman" w:cs="Times New Roman"/>
          <w:sz w:val="28"/>
          <w:szCs w:val="28"/>
          <w:lang w:eastAsia="ru-RU"/>
        </w:rPr>
        <w:t>20</w:t>
      </w:r>
      <w:r w:rsidRPr="002D1A88">
        <w:rPr>
          <w:rFonts w:ascii="Times New Roman" w:eastAsia="Calibri" w:hAnsi="Times New Roman" w:cs="Times New Roman"/>
          <w:sz w:val="28"/>
          <w:szCs w:val="28"/>
          <w:lang w:eastAsia="ru-RU"/>
        </w:rPr>
        <w:t>]</w:t>
      </w:r>
      <w:r w:rsidRPr="002D1A88">
        <w:rPr>
          <w:rFonts w:ascii="Times New Roman" w:eastAsia="Times New Roman" w:hAnsi="Times New Roman" w:cs="Times New Roman"/>
          <w:sz w:val="28"/>
          <w:szCs w:val="28"/>
          <w:lang w:eastAsia="ru-RU"/>
        </w:rPr>
        <w:t xml:space="preserve">. </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t>Поиск новых диагностических критериев для определения активности туберкулезной инфекции является приоритетной задачей при определении группы высокого риска развития туберкулеза.</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t>Цель исследования – повышение ранней диагностики туберкулеза с помощью определения новых иммунологических критериев активности туберкулезной инфекции.</w:t>
      </w:r>
    </w:p>
    <w:p w:rsidR="002D1A88" w:rsidRPr="002D1A88" w:rsidRDefault="002D1A88" w:rsidP="002D1A88">
      <w:pPr>
        <w:tabs>
          <w:tab w:val="left" w:pos="851"/>
        </w:tabs>
        <w:spacing w:after="200" w:line="360" w:lineRule="auto"/>
        <w:outlineLvl w:val="0"/>
        <w:rPr>
          <w:rFonts w:ascii="Times New Roman" w:hAnsi="Times New Roman" w:cs="Times New Roman"/>
          <w:b/>
          <w:sz w:val="28"/>
          <w:szCs w:val="28"/>
        </w:rPr>
      </w:pPr>
      <w:r w:rsidRPr="002D1A88">
        <w:rPr>
          <w:rFonts w:ascii="Times New Roman" w:hAnsi="Times New Roman" w:cs="Times New Roman"/>
          <w:b/>
          <w:sz w:val="28"/>
          <w:szCs w:val="28"/>
        </w:rPr>
        <w:t>Материал и методы.</w:t>
      </w:r>
    </w:p>
    <w:p w:rsidR="002D1A88" w:rsidRPr="002D1A88" w:rsidRDefault="002D1A88" w:rsidP="002D1A88">
      <w:pPr>
        <w:tabs>
          <w:tab w:val="left" w:pos="851"/>
        </w:tabs>
        <w:spacing w:after="200" w:line="360" w:lineRule="auto"/>
        <w:ind w:firstLine="851"/>
        <w:jc w:val="both"/>
        <w:rPr>
          <w:rFonts w:ascii="Times New Roman" w:hAnsi="Times New Roman" w:cs="Times New Roman"/>
          <w:sz w:val="28"/>
          <w:szCs w:val="28"/>
        </w:rPr>
      </w:pPr>
      <w:r w:rsidRPr="002D1A88">
        <w:rPr>
          <w:rFonts w:ascii="Times New Roman" w:hAnsi="Times New Roman" w:cs="Times New Roman"/>
          <w:sz w:val="28"/>
          <w:szCs w:val="28"/>
        </w:rPr>
        <w:t>Проспективное исследование было проведено за период с декабря 2016 года по июль 2017 года с включением 135 больных туберкулезом легких (</w:t>
      </w:r>
      <w:r w:rsidRPr="002D1A88">
        <w:rPr>
          <w:rFonts w:ascii="Times New Roman" w:hAnsi="Times New Roman" w:cs="Times New Roman"/>
          <w:sz w:val="28"/>
          <w:szCs w:val="28"/>
          <w:lang w:val="en-CA"/>
        </w:rPr>
        <w:t>I</w:t>
      </w:r>
      <w:r w:rsidRPr="002D1A88">
        <w:rPr>
          <w:rFonts w:ascii="Times New Roman" w:hAnsi="Times New Roman" w:cs="Times New Roman"/>
          <w:sz w:val="28"/>
          <w:szCs w:val="28"/>
        </w:rPr>
        <w:t xml:space="preserve"> группа), которые проходили лечение на базе ФГБУ «Санкт-Петербургский НИИ фтизиопульмонологии» Минздрава РФ, 28 лиц с латентной туберкулезной инфекцией (ЛТИ) (</w:t>
      </w:r>
      <w:r w:rsidRPr="002D1A88">
        <w:rPr>
          <w:rFonts w:ascii="Times New Roman" w:hAnsi="Times New Roman" w:cs="Times New Roman"/>
          <w:sz w:val="28"/>
          <w:szCs w:val="28"/>
          <w:lang w:val="en-CA"/>
        </w:rPr>
        <w:t>II</w:t>
      </w:r>
      <w:r w:rsidRPr="002D1A88">
        <w:rPr>
          <w:rFonts w:ascii="Times New Roman" w:hAnsi="Times New Roman" w:cs="Times New Roman"/>
          <w:sz w:val="28"/>
          <w:szCs w:val="28"/>
        </w:rPr>
        <w:t xml:space="preserve"> группа) и 24 человека (здоровых лиц) - группа контроля (</w:t>
      </w:r>
      <w:r w:rsidRPr="002D1A88">
        <w:rPr>
          <w:rFonts w:ascii="Times New Roman" w:hAnsi="Times New Roman" w:cs="Times New Roman"/>
          <w:sz w:val="28"/>
          <w:szCs w:val="28"/>
          <w:lang w:val="en-CA"/>
        </w:rPr>
        <w:t>III</w:t>
      </w:r>
      <w:r w:rsidRPr="002D1A88">
        <w:rPr>
          <w:rFonts w:ascii="Times New Roman" w:hAnsi="Times New Roman" w:cs="Times New Roman"/>
          <w:sz w:val="28"/>
          <w:szCs w:val="28"/>
        </w:rPr>
        <w:t xml:space="preserve"> группа). Исследование было одобрено независимым этическим комитетом ФГБУ «СПб НИИФ» Минздрава России (выписка из протокола №34.2 от 19.01.2017) и ФГБОУ ВО СПбГУ (выписка из протокола №02-126 от 30.07.2017), все участники исследования подписали информированное согласие.</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Диагноз «туберкулез легких» устанавливался при наличии клинических проявлений, характерных рентгенологических изменений; положительных результатов обследования на туберкулёз (выявление в анализах мокроты</w:t>
      </w:r>
      <w:r w:rsidRPr="002D1A88">
        <w:rPr>
          <w:rFonts w:ascii="Times New Roman" w:hAnsi="Times New Roman" w:cs="Times New Roman"/>
          <w:i/>
          <w:sz w:val="28"/>
          <w:szCs w:val="28"/>
        </w:rPr>
        <w:t xml:space="preserve"> </w:t>
      </w:r>
      <w:r w:rsidRPr="002D1A88">
        <w:rPr>
          <w:rFonts w:ascii="Times New Roman" w:hAnsi="Times New Roman" w:cs="Times New Roman"/>
          <w:i/>
          <w:sz w:val="28"/>
          <w:szCs w:val="28"/>
          <w:lang w:val="en-US"/>
        </w:rPr>
        <w:t>M</w:t>
      </w:r>
      <w:r w:rsidRPr="002D1A88">
        <w:rPr>
          <w:rFonts w:ascii="Times New Roman" w:hAnsi="Times New Roman" w:cs="Times New Roman"/>
          <w:i/>
          <w:sz w:val="28"/>
          <w:szCs w:val="28"/>
        </w:rPr>
        <w:t>.</w:t>
      </w:r>
      <w:r w:rsidRPr="002D1A88">
        <w:rPr>
          <w:rFonts w:ascii="Times New Roman" w:hAnsi="Times New Roman" w:cs="Times New Roman"/>
          <w:i/>
          <w:sz w:val="28"/>
          <w:szCs w:val="28"/>
          <w:lang w:val="en-US"/>
        </w:rPr>
        <w:t>tuberculosis</w:t>
      </w:r>
      <w:r w:rsidRPr="002D1A88">
        <w:rPr>
          <w:rFonts w:ascii="Times New Roman" w:hAnsi="Times New Roman" w:cs="Times New Roman"/>
          <w:sz w:val="28"/>
          <w:szCs w:val="28"/>
        </w:rPr>
        <w:t xml:space="preserve"> (</w:t>
      </w:r>
      <w:r w:rsidRPr="002D1A88">
        <w:rPr>
          <w:rFonts w:ascii="Times New Roman" w:hAnsi="Times New Roman" w:cs="Times New Roman"/>
          <w:sz w:val="28"/>
          <w:szCs w:val="28"/>
          <w:lang w:val="en-US"/>
        </w:rPr>
        <w:t>MBT</w:t>
      </w:r>
      <w:r w:rsidRPr="002D1A88">
        <w:rPr>
          <w:rFonts w:ascii="Times New Roman" w:hAnsi="Times New Roman" w:cs="Times New Roman"/>
          <w:sz w:val="28"/>
          <w:szCs w:val="28"/>
        </w:rPr>
        <w:t xml:space="preserve">) и / или </w:t>
      </w:r>
      <w:r w:rsidRPr="002D1A88">
        <w:rPr>
          <w:rFonts w:ascii="Times New Roman" w:hAnsi="Times New Roman" w:cs="Times New Roman"/>
          <w:sz w:val="28"/>
          <w:szCs w:val="28"/>
          <w:lang w:val="en-US"/>
        </w:rPr>
        <w:t>MTB</w:t>
      </w:r>
      <w:r w:rsidRPr="002D1A88">
        <w:rPr>
          <w:rFonts w:ascii="Times New Roman" w:hAnsi="Times New Roman" w:cs="Times New Roman"/>
          <w:sz w:val="28"/>
          <w:szCs w:val="28"/>
        </w:rPr>
        <w:t xml:space="preserve"> ДНК по данным молекулярно-генетических и бактериологических методов), гистологической верификации изменений в легких (выявление эпителиоидно-клеточных гранулем с участками казеозного некроза и кислотоустойчивых бактерий).</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shd w:val="clear" w:color="auto" w:fill="FFFFFF"/>
        </w:rPr>
        <w:lastRenderedPageBreak/>
        <w:t xml:space="preserve">Критериями включения являлись: возраст от 18 до 65 лет; у больных туберкулезом - наличие бактериовыделения </w:t>
      </w:r>
      <w:r w:rsidRPr="002D1A88">
        <w:rPr>
          <w:rFonts w:ascii="Times New Roman" w:hAnsi="Times New Roman" w:cs="Times New Roman"/>
          <w:sz w:val="28"/>
          <w:szCs w:val="28"/>
        </w:rPr>
        <w:t>по данным лабораторного обследования; у лиц с ЛТИ -  наличие положительного результата иммунологического теста при отсутствии клинических и рентгенологических данных об активном туберкулезе.</w:t>
      </w:r>
    </w:p>
    <w:p w:rsidR="002D1A88" w:rsidRPr="002D1A88" w:rsidRDefault="002D1A88" w:rsidP="002D1A88">
      <w:pPr>
        <w:spacing w:after="200" w:line="360" w:lineRule="auto"/>
        <w:ind w:firstLine="851"/>
        <w:jc w:val="both"/>
        <w:rPr>
          <w:rFonts w:ascii="Times New Roman" w:hAnsi="Times New Roman" w:cs="Times New Roman"/>
          <w:sz w:val="28"/>
          <w:szCs w:val="28"/>
        </w:rPr>
      </w:pPr>
      <w:r w:rsidRPr="002D1A88">
        <w:rPr>
          <w:rFonts w:ascii="Times New Roman" w:hAnsi="Times New Roman" w:cs="Times New Roman"/>
          <w:sz w:val="28"/>
          <w:szCs w:val="28"/>
        </w:rPr>
        <w:t>Критериями исключения являлись: анамнестические данные о применении иммуносупрессивной терапии, лечение противотуберкулезными препаратами более одного месяца, наличие ВИЧ-инфекции, сифилиса, опухолевых заболеваний, сахарного диабета, а также выявление других гранулематозных заболеваний легких.</w:t>
      </w:r>
    </w:p>
    <w:p w:rsidR="002D1A88" w:rsidRPr="002D1A88" w:rsidRDefault="002D1A88" w:rsidP="002D1A88">
      <w:pPr>
        <w:spacing w:after="200" w:line="360" w:lineRule="auto"/>
        <w:ind w:firstLine="851"/>
        <w:jc w:val="both"/>
        <w:rPr>
          <w:rFonts w:ascii="Times New Roman" w:hAnsi="Times New Roman" w:cs="Times New Roman"/>
          <w:sz w:val="28"/>
          <w:szCs w:val="28"/>
        </w:rPr>
      </w:pPr>
      <w:r w:rsidRPr="002D1A88">
        <w:rPr>
          <w:rFonts w:ascii="Times New Roman" w:hAnsi="Times New Roman" w:cs="Times New Roman"/>
          <w:sz w:val="28"/>
          <w:szCs w:val="28"/>
        </w:rPr>
        <w:t xml:space="preserve">Критериями включения для группы здоровых лиц являлись: отсутствие острых и хронических заболеваний, отсутствие риска развития туберкулеза и отрицательные результаты иммунологических тестов.   </w:t>
      </w:r>
    </w:p>
    <w:p w:rsidR="002D1A88" w:rsidRPr="002D1A88" w:rsidRDefault="002D1A88" w:rsidP="002D1A88">
      <w:pPr>
        <w:spacing w:after="200" w:line="360" w:lineRule="auto"/>
        <w:ind w:firstLine="567"/>
        <w:jc w:val="both"/>
        <w:outlineLvl w:val="0"/>
        <w:rPr>
          <w:rFonts w:ascii="Times New Roman" w:hAnsi="Times New Roman" w:cs="Times New Roman"/>
          <w:b/>
          <w:sz w:val="28"/>
          <w:szCs w:val="28"/>
        </w:rPr>
      </w:pPr>
      <w:r w:rsidRPr="002D1A88">
        <w:rPr>
          <w:rFonts w:ascii="Times New Roman" w:hAnsi="Times New Roman" w:cs="Times New Roman"/>
          <w:b/>
          <w:sz w:val="28"/>
          <w:szCs w:val="28"/>
        </w:rPr>
        <w:t xml:space="preserve">Методы исследования. </w:t>
      </w:r>
    </w:p>
    <w:p w:rsidR="002D1A88" w:rsidRPr="002D1A88" w:rsidRDefault="002D1A88" w:rsidP="002D1A88">
      <w:pPr>
        <w:spacing w:after="200" w:line="360" w:lineRule="auto"/>
        <w:jc w:val="both"/>
        <w:outlineLvl w:val="0"/>
        <w:rPr>
          <w:rFonts w:ascii="Times New Roman" w:hAnsi="Times New Roman" w:cs="Times New Roman"/>
          <w:b/>
          <w:sz w:val="28"/>
          <w:szCs w:val="28"/>
        </w:rPr>
      </w:pPr>
      <w:r w:rsidRPr="002D1A88">
        <w:rPr>
          <w:rFonts w:ascii="Times New Roman" w:hAnsi="Times New Roman" w:cs="Times New Roman"/>
          <w:sz w:val="28"/>
          <w:szCs w:val="28"/>
        </w:rPr>
        <w:t xml:space="preserve">        Все пациенты прошли комплекс обследования, включавший клиническую оценку заболевания, мультиспиральную компьютерную томографию (МСКТ) органов грудной клетки, лабораторные исследования крови, стандартный комплекс обследования на туберкулез. </w:t>
      </w:r>
    </w:p>
    <w:p w:rsidR="002D1A88" w:rsidRPr="002D1A88" w:rsidRDefault="002D1A88" w:rsidP="002D1A88">
      <w:pPr>
        <w:suppressAutoHyphens/>
        <w:spacing w:after="0" w:line="360" w:lineRule="auto"/>
        <w:ind w:firstLine="709"/>
        <w:jc w:val="both"/>
        <w:rPr>
          <w:rFonts w:ascii="Times New Roman" w:eastAsia="Times New Roman" w:hAnsi="Times New Roman" w:cs="Times New Roman"/>
          <w:sz w:val="28"/>
          <w:szCs w:val="28"/>
        </w:rPr>
      </w:pPr>
      <w:r w:rsidRPr="002D1A88">
        <w:rPr>
          <w:rFonts w:ascii="Times New Roman" w:eastAsia="Times New Roman" w:hAnsi="Times New Roman" w:cs="Times New Roman"/>
          <w:sz w:val="28"/>
          <w:szCs w:val="28"/>
        </w:rPr>
        <w:t>После комплексного обследования проводился забор крови для проведения QuantiFERON TB Gold (QFT) и ELISPOT, далее - пост</w:t>
      </w:r>
      <w:r w:rsidR="00EB101B">
        <w:rPr>
          <w:rFonts w:ascii="Times New Roman" w:eastAsia="Times New Roman" w:hAnsi="Times New Roman" w:cs="Times New Roman"/>
          <w:sz w:val="28"/>
          <w:szCs w:val="28"/>
        </w:rPr>
        <w:t>ановка пробы Манту с 2ТЕ (ПМ</w:t>
      </w:r>
      <w:r w:rsidR="00EB101B" w:rsidRPr="00EB101B">
        <w:rPr>
          <w:rFonts w:ascii="Times New Roman" w:eastAsia="Times New Roman" w:hAnsi="Times New Roman" w:cs="Times New Roman"/>
          <w:sz w:val="28"/>
          <w:szCs w:val="28"/>
        </w:rPr>
        <w:t>/</w:t>
      </w:r>
      <w:r w:rsidR="00EB101B">
        <w:rPr>
          <w:rFonts w:ascii="Times New Roman" w:eastAsia="Times New Roman" w:hAnsi="Times New Roman" w:cs="Times New Roman"/>
          <w:sz w:val="28"/>
          <w:szCs w:val="28"/>
          <w:lang w:val="en-CA"/>
        </w:rPr>
        <w:t>TST</w:t>
      </w:r>
      <w:r w:rsidRPr="002D1A88">
        <w:rPr>
          <w:rFonts w:ascii="Times New Roman" w:eastAsia="Times New Roman" w:hAnsi="Times New Roman" w:cs="Times New Roman"/>
          <w:sz w:val="28"/>
          <w:szCs w:val="28"/>
        </w:rPr>
        <w:t>) и пробы с аллергеном туберкулезным рекомбинантным (АТР/Диаскинтест /</w:t>
      </w:r>
      <w:r w:rsidRPr="002D1A88">
        <w:rPr>
          <w:rFonts w:ascii="Times New Roman" w:eastAsia="Times New Roman" w:hAnsi="Times New Roman" w:cs="Times New Roman"/>
          <w:sz w:val="28"/>
          <w:szCs w:val="28"/>
          <w:lang w:val="en-US"/>
        </w:rPr>
        <w:t>DST</w:t>
      </w:r>
      <w:r w:rsidRPr="002D1A88">
        <w:rPr>
          <w:rFonts w:ascii="Times New Roman" w:eastAsia="Times New Roman" w:hAnsi="Times New Roman" w:cs="Times New Roman"/>
          <w:sz w:val="28"/>
          <w:szCs w:val="28"/>
        </w:rPr>
        <w:t>). За 5-тилетний период наблюдения тесты на высвобождение интерферона-γ (IGRA-тесты) из-за ограниченных возможностей были выполнены только у части обследованных. Оценка результатов иммунологических проб осуществлялась с учетом полученной выборки по каждому тесту.</w:t>
      </w:r>
    </w:p>
    <w:p w:rsidR="002D1A88" w:rsidRPr="002D1A88" w:rsidRDefault="002D1A88" w:rsidP="002D1A88">
      <w:pPr>
        <w:suppressAutoHyphens/>
        <w:spacing w:after="0" w:line="360" w:lineRule="auto"/>
        <w:ind w:firstLine="709"/>
        <w:jc w:val="both"/>
        <w:rPr>
          <w:rFonts w:ascii="Times New Roman" w:eastAsia="Times New Roman" w:hAnsi="Times New Roman" w:cs="Times New Roman"/>
          <w:b/>
          <w:sz w:val="28"/>
          <w:szCs w:val="28"/>
        </w:rPr>
      </w:pPr>
      <w:r w:rsidRPr="002D1A88">
        <w:rPr>
          <w:rFonts w:ascii="Times New Roman" w:hAnsi="Times New Roman" w:cs="Times New Roman"/>
          <w:sz w:val="28"/>
          <w:szCs w:val="28"/>
        </w:rPr>
        <w:t>Постановка пробы с аллергеном туберкулезным рекомбинантным (</w:t>
      </w:r>
      <w:r w:rsidRPr="002D1A88">
        <w:rPr>
          <w:rFonts w:ascii="Times New Roman" w:hAnsi="Times New Roman" w:cs="Times New Roman"/>
          <w:sz w:val="28"/>
          <w:szCs w:val="28"/>
          <w:lang w:val="en-US"/>
        </w:rPr>
        <w:t>DST</w:t>
      </w:r>
      <w:r w:rsidRPr="002D1A88">
        <w:rPr>
          <w:rFonts w:ascii="Times New Roman" w:hAnsi="Times New Roman" w:cs="Times New Roman"/>
          <w:sz w:val="28"/>
          <w:szCs w:val="28"/>
        </w:rPr>
        <w:t xml:space="preserve">) аналогична пробе с туберкулином. Инъекция проводится внутрикожно, </w:t>
      </w:r>
      <w:r w:rsidRPr="002D1A88">
        <w:rPr>
          <w:rFonts w:ascii="Times New Roman" w:hAnsi="Times New Roman" w:cs="Times New Roman"/>
          <w:sz w:val="28"/>
          <w:szCs w:val="28"/>
        </w:rPr>
        <w:lastRenderedPageBreak/>
        <w:t xml:space="preserve">считывание результата осуществляется через 72 часа путем измерения диаметра папулы в месте инъекции. </w:t>
      </w:r>
    </w:p>
    <w:p w:rsidR="002D1A88" w:rsidRPr="002D1A88" w:rsidRDefault="002D1A88" w:rsidP="002D1A88">
      <w:pPr>
        <w:spacing w:after="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 xml:space="preserve">Согласно инструкции при наличии папулы любого размера результаты </w:t>
      </w:r>
      <w:r w:rsidRPr="002D1A88">
        <w:rPr>
          <w:rFonts w:ascii="Times New Roman" w:hAnsi="Times New Roman" w:cs="Times New Roman"/>
          <w:sz w:val="28"/>
          <w:szCs w:val="28"/>
          <w:lang w:val="en-US"/>
        </w:rPr>
        <w:t>DST</w:t>
      </w:r>
      <w:r w:rsidRPr="002D1A88">
        <w:rPr>
          <w:rFonts w:ascii="Times New Roman" w:hAnsi="Times New Roman" w:cs="Times New Roman"/>
          <w:sz w:val="28"/>
          <w:szCs w:val="28"/>
        </w:rPr>
        <w:t xml:space="preserve"> интерпретировались как положительные. Наличие гиперемии при отсутствии папулы - расценивались как сомнительная проба. В настоящем исследовании для объективной оценки наличия папулы определен </w:t>
      </w:r>
      <w:r w:rsidRPr="002D1A88">
        <w:rPr>
          <w:rFonts w:ascii="Times New Roman" w:hAnsi="Times New Roman" w:cs="Times New Roman"/>
          <w:sz w:val="28"/>
          <w:szCs w:val="28"/>
          <w:lang w:val="en-US"/>
        </w:rPr>
        <w:t>cut</w:t>
      </w:r>
      <w:r w:rsidRPr="002D1A88">
        <w:rPr>
          <w:rFonts w:ascii="Times New Roman" w:hAnsi="Times New Roman" w:cs="Times New Roman"/>
          <w:sz w:val="28"/>
          <w:szCs w:val="28"/>
        </w:rPr>
        <w:t xml:space="preserve"> off ≥ 5 мм. </w:t>
      </w:r>
    </w:p>
    <w:p w:rsidR="002D1A88" w:rsidRPr="002D1A88" w:rsidRDefault="002D1A88" w:rsidP="002D1A88">
      <w:pPr>
        <w:spacing w:after="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lang w:val="en-US"/>
        </w:rPr>
        <w:t>TST</w:t>
      </w:r>
      <w:r w:rsidRPr="002D1A88">
        <w:rPr>
          <w:rFonts w:ascii="Times New Roman" w:hAnsi="Times New Roman" w:cs="Times New Roman"/>
          <w:sz w:val="28"/>
          <w:szCs w:val="28"/>
        </w:rPr>
        <w:t xml:space="preserve"> </w:t>
      </w:r>
      <w:r w:rsidR="00A072FB" w:rsidRPr="00A072FB">
        <w:rPr>
          <w:rFonts w:ascii="Times New Roman" w:hAnsi="Times New Roman" w:cs="Times New Roman"/>
          <w:sz w:val="28"/>
          <w:szCs w:val="28"/>
        </w:rPr>
        <w:t>(</w:t>
      </w:r>
      <w:r w:rsidR="00A072FB">
        <w:rPr>
          <w:rFonts w:ascii="Times New Roman" w:hAnsi="Times New Roman" w:cs="Times New Roman"/>
          <w:sz w:val="28"/>
          <w:szCs w:val="28"/>
          <w:lang w:val="en-CA"/>
        </w:rPr>
        <w:t>tuberculin</w:t>
      </w:r>
      <w:r w:rsidR="00A072FB" w:rsidRPr="00A072FB">
        <w:rPr>
          <w:rFonts w:ascii="Times New Roman" w:hAnsi="Times New Roman" w:cs="Times New Roman"/>
          <w:sz w:val="28"/>
          <w:szCs w:val="28"/>
        </w:rPr>
        <w:t xml:space="preserve"> </w:t>
      </w:r>
      <w:r w:rsidR="00A072FB">
        <w:rPr>
          <w:rFonts w:ascii="Times New Roman" w:hAnsi="Times New Roman" w:cs="Times New Roman"/>
          <w:sz w:val="28"/>
          <w:szCs w:val="28"/>
          <w:lang w:val="en-CA"/>
        </w:rPr>
        <w:t>skin</w:t>
      </w:r>
      <w:r w:rsidR="00A072FB" w:rsidRPr="00A072FB">
        <w:rPr>
          <w:rFonts w:ascii="Times New Roman" w:hAnsi="Times New Roman" w:cs="Times New Roman"/>
          <w:sz w:val="28"/>
          <w:szCs w:val="28"/>
        </w:rPr>
        <w:t xml:space="preserve"> </w:t>
      </w:r>
      <w:r w:rsidR="00A072FB">
        <w:rPr>
          <w:rFonts w:ascii="Times New Roman" w:hAnsi="Times New Roman" w:cs="Times New Roman"/>
          <w:sz w:val="28"/>
          <w:szCs w:val="28"/>
          <w:lang w:val="en-CA"/>
        </w:rPr>
        <w:t>test</w:t>
      </w:r>
      <w:r w:rsidR="00A072FB" w:rsidRPr="00A072FB">
        <w:rPr>
          <w:rFonts w:ascii="Times New Roman" w:hAnsi="Times New Roman" w:cs="Times New Roman"/>
          <w:sz w:val="28"/>
          <w:szCs w:val="28"/>
        </w:rPr>
        <w:t xml:space="preserve">) </w:t>
      </w:r>
      <w:r w:rsidRPr="002D1A88">
        <w:rPr>
          <w:rFonts w:ascii="Times New Roman" w:hAnsi="Times New Roman" w:cs="Times New Roman"/>
          <w:sz w:val="28"/>
          <w:szCs w:val="28"/>
        </w:rPr>
        <w:t>в рамках российского законодательства осуществлялся с применением туберкулина ППД-Л с 2 туберкулиновыми единицами (Россия, АО «Фармстандарт»). Результаты TST оценивались следующим образом: положительный - папула 5 и более мм, сомнительный - папула до 4 мм включительно или гиперемия любого размера. Отсутствие папулы и гиперемии при обоих тестах являлось отрицательным результатом.</w:t>
      </w:r>
    </w:p>
    <w:p w:rsidR="002D1A88" w:rsidRPr="002D1A88" w:rsidRDefault="002D1A88" w:rsidP="002D1A88">
      <w:pPr>
        <w:spacing w:after="0" w:line="360" w:lineRule="auto"/>
        <w:ind w:firstLine="709"/>
        <w:jc w:val="both"/>
        <w:rPr>
          <w:rFonts w:ascii="Times New Roman" w:hAnsi="Times New Roman" w:cs="Times New Roman"/>
          <w:b/>
          <w:sz w:val="28"/>
          <w:szCs w:val="28"/>
        </w:rPr>
      </w:pPr>
      <w:r w:rsidRPr="002D1A88">
        <w:rPr>
          <w:rFonts w:ascii="Times New Roman" w:hAnsi="Times New Roman" w:cs="Times New Roman"/>
          <w:sz w:val="28"/>
          <w:szCs w:val="28"/>
        </w:rPr>
        <w:t xml:space="preserve">Тест T-SPOT®.TB был выполнен в соответствии с инструкцией изготовителя (Оксфорд Иммунотек, Великобритания). Очищенные лимфоциты периферической крови инкубировали с антигенами теста с использованием культуральной среды GIBCO AIM-V ™ (Invitrogen, Paisley, UK). Количество пятен в каждой лунке (представляющих клетки, секретирующие IFN-γ) оценивалось визуально при помощи увеличительного стекла двумя независимыми наблюдателями, которые не знали результатов QFT. Результаты были интерпретированы в соответствии с критериями, определенными изготовителем для использования теста за пределами США. Положительный результат был определен как ≥ 6 пятен либо в лунке ESAT-6, либо в лунке CFP-10 после вычитания количества пятен, обнаруженных в отрицательной контрольной лунке, где отрицательный контроль имеет 0-5 пятен. Если отрицательная контрольная часть имела ≥ 6 пятен, панель ESAT-6 или CFP-10 для положительного результата должна была содержать по крайней мере вдвое больше пятен, обнаруженных на отрицательной панели. Результат был неопределенным, если в отрицательной контрольной лунке </w:t>
      </w:r>
      <w:r w:rsidRPr="002D1A88">
        <w:rPr>
          <w:rFonts w:ascii="Times New Roman" w:hAnsi="Times New Roman" w:cs="Times New Roman"/>
          <w:sz w:val="28"/>
          <w:szCs w:val="28"/>
        </w:rPr>
        <w:lastRenderedPageBreak/>
        <w:t xml:space="preserve">было более 10 пятен или менее 20 - в контроле митогена (с &lt;6 в лунках ESAT-6 и CFP-10). </w:t>
      </w:r>
    </w:p>
    <w:p w:rsidR="002D1A88" w:rsidRPr="002D1A88" w:rsidRDefault="002D1A88" w:rsidP="002D1A88">
      <w:pPr>
        <w:spacing w:after="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 xml:space="preserve">Тест QuantiFERON-TB Gold (QFT) также был выполнен в соответствии с инструкцией изготовителя (Селлестис Лимитед, Австралия). Венозную кровь собирали у каждого пациента из трех специальных эвакуированных и гепаринизированных пробирок крови, откалиброванных для натягивания 1 мл крови. Набор включал трубку, покрытую TB-Antigen, трубку NIL (отрицательный контроль) и митогенную (фитогемагглютининовую) трубку в качестве положительного контроля. Как рекомендовано, значение отсечки для положительного теста было IFN-γ&gt; 0,35 МЕ/мл, для TB-Antigen - минус NIL. Отрицательный результат был зарегистрирован, если этот ответ составлял &lt;0,35 МЕ/мл, а контроль митогена  - минус NIL- ≥ 0,5 МЕ/мл. Если уровень IFN-γ как для TB-Antigen-NIL, так и для mitogen-NIL был меньше, чем их соответствующие отсечки, результат интерпретировался как неопределенный. Максимальный уровень IFN-γ, точно определяемый с помощью ИФА с QFT, составляет 10 МЕ/мл, и, таким образом, превышающие значения, сообщаются как 10 МЕ/мл. </w:t>
      </w:r>
    </w:p>
    <w:p w:rsidR="002D1A88" w:rsidRPr="002D1A88" w:rsidRDefault="002D1A88" w:rsidP="002D1A88">
      <w:pPr>
        <w:spacing w:after="0" w:line="360" w:lineRule="auto"/>
        <w:ind w:firstLine="709"/>
        <w:jc w:val="both"/>
        <w:rPr>
          <w:rFonts w:ascii="Times New Roman" w:hAnsi="Times New Roman" w:cs="Times New Roman"/>
          <w:b/>
          <w:sz w:val="28"/>
          <w:szCs w:val="28"/>
        </w:rPr>
      </w:pPr>
      <w:r w:rsidRPr="002D1A88">
        <w:rPr>
          <w:rFonts w:ascii="Times New Roman" w:hAnsi="Times New Roman" w:cs="Times New Roman"/>
          <w:sz w:val="28"/>
          <w:szCs w:val="28"/>
        </w:rPr>
        <w:t>Результаты IGRA-тестов пограничной линии были классифицированы как отрицательные из-за неопределенной вероятности заражения ТБ.</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Плазма всех включенных пациентов была исследована в ФГБУ «Петербургский институт ядерной физики им. Б.П. Константинова» с определением образующихся</w:t>
      </w:r>
      <w:r w:rsidRPr="002D1A88">
        <w:rPr>
          <w:rFonts w:ascii="Times New Roman" w:hAnsi="Times New Roman" w:cs="Times New Roman"/>
          <w:i/>
          <w:sz w:val="28"/>
          <w:szCs w:val="28"/>
        </w:rPr>
        <w:t xml:space="preserve"> </w:t>
      </w:r>
      <w:r w:rsidRPr="002D1A88">
        <w:rPr>
          <w:rFonts w:ascii="Times New Roman" w:hAnsi="Times New Roman" w:cs="Times New Roman"/>
          <w:i/>
          <w:sz w:val="28"/>
          <w:szCs w:val="28"/>
          <w:lang w:val="en-US"/>
        </w:rPr>
        <w:t>in</w:t>
      </w:r>
      <w:r w:rsidRPr="002D1A88">
        <w:rPr>
          <w:rFonts w:ascii="Times New Roman" w:hAnsi="Times New Roman" w:cs="Times New Roman"/>
          <w:i/>
          <w:sz w:val="28"/>
          <w:szCs w:val="28"/>
        </w:rPr>
        <w:t xml:space="preserve"> </w:t>
      </w:r>
      <w:r w:rsidRPr="002D1A88">
        <w:rPr>
          <w:rFonts w:ascii="Times New Roman" w:hAnsi="Times New Roman" w:cs="Times New Roman"/>
          <w:i/>
          <w:sz w:val="28"/>
          <w:szCs w:val="28"/>
          <w:lang w:val="en-US"/>
        </w:rPr>
        <w:t>vitro</w:t>
      </w:r>
      <w:r w:rsidRPr="002D1A88">
        <w:rPr>
          <w:rFonts w:ascii="Times New Roman" w:hAnsi="Times New Roman" w:cs="Times New Roman"/>
          <w:i/>
          <w:sz w:val="28"/>
          <w:szCs w:val="28"/>
        </w:rPr>
        <w:t xml:space="preserve"> </w:t>
      </w:r>
      <w:r w:rsidRPr="002D1A88">
        <w:rPr>
          <w:rFonts w:ascii="Times New Roman" w:hAnsi="Times New Roman" w:cs="Times New Roman"/>
          <w:sz w:val="28"/>
          <w:szCs w:val="28"/>
        </w:rPr>
        <w:t xml:space="preserve">иммунных комплексов (ИК) методом динамического светорассеяния (ДСР) по предложенной методике (заявка на патент № 2015149694; дата публикации 24 мая 2017 г., Филатов М.В., Ланда С.Б.). Измерения проводились на лазерном корреляционном спектрометре (сертификат </w:t>
      </w:r>
      <w:r w:rsidRPr="002D1A88">
        <w:rPr>
          <w:rFonts w:ascii="Times New Roman" w:hAnsi="Times New Roman" w:cs="Times New Roman"/>
          <w:sz w:val="28"/>
          <w:szCs w:val="28"/>
          <w:lang w:val="en-US"/>
        </w:rPr>
        <w:t>RU</w:t>
      </w:r>
      <w:r w:rsidRPr="002D1A88">
        <w:rPr>
          <w:rFonts w:ascii="Times New Roman" w:hAnsi="Times New Roman" w:cs="Times New Roman"/>
          <w:sz w:val="28"/>
          <w:szCs w:val="28"/>
        </w:rPr>
        <w:t xml:space="preserve">. </w:t>
      </w:r>
      <w:r w:rsidRPr="002D1A88">
        <w:rPr>
          <w:rFonts w:ascii="Times New Roman" w:hAnsi="Times New Roman" w:cs="Times New Roman"/>
          <w:sz w:val="28"/>
          <w:szCs w:val="28"/>
          <w:lang w:val="en-US"/>
        </w:rPr>
        <w:t>C</w:t>
      </w:r>
      <w:r w:rsidRPr="002D1A88">
        <w:rPr>
          <w:rFonts w:ascii="Times New Roman" w:hAnsi="Times New Roman" w:cs="Times New Roman"/>
          <w:sz w:val="28"/>
          <w:szCs w:val="28"/>
        </w:rPr>
        <w:t>. 39.003. А № 5381)</w:t>
      </w:r>
      <w:r w:rsidR="00FD7145">
        <w:rPr>
          <w:rFonts w:ascii="Times New Roman" w:hAnsi="Times New Roman" w:cs="Times New Roman"/>
          <w:sz w:val="28"/>
          <w:szCs w:val="28"/>
        </w:rPr>
        <w:t xml:space="preserve"> ЛКС-03 (ИНТОКС-МЕД, Россия) [5, 6</w:t>
      </w:r>
      <w:r w:rsidRPr="002D1A88">
        <w:rPr>
          <w:rFonts w:ascii="Times New Roman" w:hAnsi="Times New Roman" w:cs="Times New Roman"/>
          <w:sz w:val="28"/>
          <w:szCs w:val="28"/>
        </w:rPr>
        <w:t xml:space="preserve">]. </w:t>
      </w:r>
    </w:p>
    <w:p w:rsidR="002D1A88" w:rsidRPr="002D1A88" w:rsidRDefault="002D1A88" w:rsidP="002D1A88">
      <w:pPr>
        <w:spacing w:line="360" w:lineRule="auto"/>
        <w:ind w:firstLine="709"/>
        <w:jc w:val="both"/>
        <w:rPr>
          <w:rFonts w:ascii="Times New Roman" w:eastAsia="Calibri" w:hAnsi="Times New Roman" w:cs="Times New Roman"/>
          <w:sz w:val="28"/>
          <w:szCs w:val="28"/>
        </w:rPr>
      </w:pPr>
      <w:r w:rsidRPr="002D1A88">
        <w:rPr>
          <w:rFonts w:ascii="Times New Roman" w:hAnsi="Times New Roman" w:cs="Times New Roman"/>
          <w:sz w:val="28"/>
          <w:szCs w:val="28"/>
        </w:rPr>
        <w:t xml:space="preserve">Метод ДСР позволяет определить входящие в состав ИК компоненты без выделения комплексов из плазмы и определить крупные частицы, которыми являются ИК. Кроме того, метод позволяет работать с нативными </w:t>
      </w:r>
      <w:r w:rsidRPr="002D1A88">
        <w:rPr>
          <w:rFonts w:ascii="Times New Roman" w:hAnsi="Times New Roman" w:cs="Times New Roman"/>
          <w:sz w:val="28"/>
          <w:szCs w:val="28"/>
        </w:rPr>
        <w:lastRenderedPageBreak/>
        <w:t>образцами в физиологических условиях и имеет узкий круг необходимых преаналитических процедур: разбавление, цен</w:t>
      </w:r>
      <w:r w:rsidR="00FD7145">
        <w:rPr>
          <w:rFonts w:ascii="Times New Roman" w:hAnsi="Times New Roman" w:cs="Times New Roman"/>
          <w:sz w:val="28"/>
          <w:szCs w:val="28"/>
        </w:rPr>
        <w:t>трифугирование, фильтрование [16</w:t>
      </w:r>
      <w:r w:rsidRPr="002D1A88">
        <w:rPr>
          <w:rFonts w:ascii="Times New Roman" w:hAnsi="Times New Roman" w:cs="Times New Roman"/>
          <w:sz w:val="28"/>
          <w:szCs w:val="28"/>
        </w:rPr>
        <w:t>]</w:t>
      </w:r>
      <w:r w:rsidRPr="002D1A88">
        <w:rPr>
          <w:rFonts w:ascii="Times New Roman" w:eastAsia="Calibri" w:hAnsi="Times New Roman" w:cs="Times New Roman"/>
          <w:sz w:val="28"/>
          <w:szCs w:val="28"/>
        </w:rPr>
        <w:t xml:space="preserve">. </w:t>
      </w:r>
    </w:p>
    <w:p w:rsidR="002D1A88" w:rsidRPr="002D1A88" w:rsidRDefault="002D1A88" w:rsidP="002D1A88">
      <w:pPr>
        <w:spacing w:after="200" w:line="360" w:lineRule="auto"/>
        <w:ind w:firstLine="567"/>
        <w:jc w:val="both"/>
        <w:rPr>
          <w:rFonts w:ascii="Times New Roman" w:hAnsi="Times New Roman" w:cs="Times New Roman"/>
          <w:sz w:val="28"/>
          <w:szCs w:val="28"/>
        </w:rPr>
      </w:pPr>
      <w:r w:rsidRPr="002D1A88">
        <w:rPr>
          <w:rFonts w:ascii="Times New Roman" w:hAnsi="Times New Roman" w:cs="Times New Roman"/>
          <w:sz w:val="28"/>
          <w:szCs w:val="28"/>
        </w:rPr>
        <w:t xml:space="preserve">Полученная от пациентов плазма крови разбавляется в 4 раза фосфатным буфером, содержащим 10 мМ концентрацию этилендиамин-тетрауксусной кислоты, подвергается центрифугированию в течение 15 минут при 15 тысячах оборотов в минуту и фильтрации через фильтр с размерами пор 100 нм для удаления всех частиц и белковых агрегатов, превышающих данный размер. Измерение ДСР полученного препарата должно показывать отсутствие каких-либо образований, превышающих по размеру 100 нм. </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 xml:space="preserve">В полученные образцы плазмы объемом 400 мкл добавляют 10 мкл приготовленного антигена. В качестве специфического туберкулезного антигена применялись ESAT-6/SFP-10 (Генериум, Россия).  </w:t>
      </w:r>
    </w:p>
    <w:p w:rsidR="002D1A88" w:rsidRPr="002D1A88" w:rsidRDefault="002D1A88" w:rsidP="002D1A88">
      <w:pPr>
        <w:spacing w:after="0" w:line="360" w:lineRule="auto"/>
        <w:ind w:firstLine="708"/>
        <w:jc w:val="both"/>
        <w:rPr>
          <w:rFonts w:ascii="Times New Roman" w:hAnsi="Times New Roman" w:cs="Times New Roman"/>
          <w:sz w:val="28"/>
          <w:szCs w:val="28"/>
        </w:rPr>
      </w:pPr>
      <w:r w:rsidRPr="002D1A88">
        <w:rPr>
          <w:rFonts w:ascii="Times New Roman" w:hAnsi="Times New Roman" w:cs="Times New Roman"/>
          <w:sz w:val="28"/>
          <w:szCs w:val="28"/>
        </w:rPr>
        <w:t>Для статистического анализа данных были использованы методы, доступные в программ</w:t>
      </w:r>
      <w:r w:rsidR="00FD7145">
        <w:rPr>
          <w:rFonts w:ascii="Times New Roman" w:hAnsi="Times New Roman" w:cs="Times New Roman"/>
          <w:sz w:val="28"/>
          <w:szCs w:val="28"/>
        </w:rPr>
        <w:t>е Stata 14</w:t>
      </w:r>
      <w:r w:rsidRPr="002D1A88">
        <w:rPr>
          <w:rFonts w:ascii="Times New Roman" w:hAnsi="Times New Roman" w:cs="Times New Roman"/>
          <w:sz w:val="28"/>
          <w:szCs w:val="28"/>
        </w:rPr>
        <w:t xml:space="preserve">. При обработке результатов также методы описательной статистики, характеризующей субъекты, включенные в исследование. Для количественных параметров оценивались арифметическое среднее (Mean); стандартное отклонение (SD); 95 % доверительный интервал (ДИ) для среднего. Для качественных переменных анализировалось абсолютное количество в формате n/N, а также доля (%). Для сравнения чувствительности различных тестов в каждой из групп был использован Q-критерий Кохрена. Для всех тестов было проведено попарное сравнение с результатами кожной пробы с Диаскинтестом при величине cut-off ≥5 мм. Для целей проведения анализа отрицательные, сомнительные и неинтерпретируемые результаты были объединены в одну группу. Для каждой пары тестов был рассчитан коэффициент согласованности каппа, который учитывает возможность случайного совпадения результатов. Сравнение частоты наличия признака между подгруппами пациентов проводилось с </w:t>
      </w:r>
      <w:r w:rsidRPr="002D1A88">
        <w:rPr>
          <w:rFonts w:ascii="Times New Roman" w:hAnsi="Times New Roman" w:cs="Times New Roman"/>
          <w:sz w:val="28"/>
          <w:szCs w:val="28"/>
        </w:rPr>
        <w:lastRenderedPageBreak/>
        <w:t xml:space="preserve">помощью точного теста Фишера. Различия в сравниваемых группах считали достоверными при уровне статистических различий  р&lt;0,05. </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Также о</w:t>
      </w:r>
      <w:r w:rsidRPr="002D1A88">
        <w:rPr>
          <w:rFonts w:ascii="Times New Roman" w:hAnsi="Times New Roman" w:cs="Times New Roman"/>
          <w:iCs/>
          <w:sz w:val="28"/>
          <w:szCs w:val="28"/>
        </w:rPr>
        <w:t>ценивались показатели диагностической значимости методов: диагностическая чувствительность (ДЧ); диагностическая специфичность (ДС); диагностическая эффективность (ДЭ)</w:t>
      </w:r>
      <w:r w:rsidRPr="002D1A88">
        <w:rPr>
          <w:rFonts w:ascii="Times New Roman" w:hAnsi="Times New Roman" w:cs="Times New Roman"/>
          <w:sz w:val="28"/>
          <w:szCs w:val="28"/>
        </w:rPr>
        <w:t>.</w:t>
      </w:r>
      <w:r w:rsidRPr="002D1A88">
        <w:rPr>
          <w:rFonts w:ascii="Times New Roman" w:hAnsi="Times New Roman" w:cs="Times New Roman"/>
          <w:sz w:val="28"/>
          <w:szCs w:val="28"/>
          <w:lang w:eastAsia="ar-SA"/>
        </w:rPr>
        <w:t xml:space="preserve"> Расчет показателя отношения шансов (odds ratio, OR) производился по формуле (a/c)/(b/d)=(a·d)/(b·c) (</w:t>
      </w:r>
      <w:r w:rsidRPr="002D1A88">
        <w:rPr>
          <w:rFonts w:ascii="Times New Roman" w:hAnsi="Times New Roman" w:cs="Times New Roman"/>
          <w:sz w:val="28"/>
          <w:szCs w:val="28"/>
        </w:rPr>
        <w:t xml:space="preserve">a – истинно положительный и b – ложноположительный результат;  c – ложноотрицательный и d – истинно отрицательный результат). Значимой считалась величина относительного риска более 1.0. </w:t>
      </w:r>
    </w:p>
    <w:p w:rsidR="002D1A88" w:rsidRPr="002D1A88" w:rsidRDefault="002D1A88" w:rsidP="002D1A88">
      <w:pPr>
        <w:spacing w:after="200" w:line="360" w:lineRule="auto"/>
        <w:jc w:val="both"/>
        <w:outlineLvl w:val="0"/>
        <w:rPr>
          <w:rFonts w:ascii="Times New Roman" w:hAnsi="Times New Roman" w:cs="Times New Roman"/>
          <w:b/>
          <w:sz w:val="28"/>
          <w:szCs w:val="28"/>
        </w:rPr>
      </w:pPr>
      <w:r w:rsidRPr="002D1A88">
        <w:rPr>
          <w:rFonts w:ascii="Times New Roman" w:hAnsi="Times New Roman" w:cs="Times New Roman"/>
          <w:b/>
          <w:sz w:val="28"/>
          <w:szCs w:val="28"/>
        </w:rPr>
        <w:t>Результаты обследования пациентов.</w:t>
      </w:r>
    </w:p>
    <w:p w:rsidR="002D1A88" w:rsidRPr="002D1A88" w:rsidRDefault="002D1A88" w:rsidP="002D1A88">
      <w:pPr>
        <w:spacing w:after="200" w:line="360" w:lineRule="auto"/>
        <w:ind w:firstLine="851"/>
        <w:jc w:val="both"/>
        <w:rPr>
          <w:rFonts w:ascii="Times New Roman" w:hAnsi="Times New Roman" w:cs="Times New Roman"/>
          <w:sz w:val="28"/>
          <w:szCs w:val="28"/>
          <w:shd w:val="clear" w:color="auto" w:fill="FFFFFF"/>
        </w:rPr>
      </w:pPr>
      <w:r w:rsidRPr="002D1A88">
        <w:rPr>
          <w:rFonts w:ascii="Times New Roman" w:hAnsi="Times New Roman" w:cs="Times New Roman"/>
          <w:sz w:val="28"/>
          <w:szCs w:val="28"/>
          <w:shd w:val="clear" w:color="auto" w:fill="FFFFFF"/>
        </w:rPr>
        <w:t xml:space="preserve">Положительные результаты обследования по данным клинических, рентгенологических и бактериологических методов у больных туберкулезом </w:t>
      </w:r>
      <w:r w:rsidRPr="002D1A88">
        <w:rPr>
          <w:rFonts w:ascii="Times New Roman" w:eastAsia="Times New Roman" w:hAnsi="Times New Roman" w:cs="Times New Roman"/>
          <w:bCs/>
          <w:kern w:val="24"/>
          <w:sz w:val="28"/>
          <w:szCs w:val="28"/>
          <w:lang w:eastAsia="ru-RU"/>
        </w:rPr>
        <w:t>(</w:t>
      </w:r>
      <w:r w:rsidRPr="002D1A88">
        <w:rPr>
          <w:rFonts w:ascii="Times New Roman" w:eastAsia="Times New Roman" w:hAnsi="Times New Roman" w:cs="Times New Roman"/>
          <w:bCs/>
          <w:kern w:val="24"/>
          <w:sz w:val="28"/>
          <w:szCs w:val="28"/>
          <w:lang w:val="en-CA" w:eastAsia="ru-RU"/>
        </w:rPr>
        <w:t>I</w:t>
      </w:r>
      <w:r w:rsidRPr="002D1A88">
        <w:rPr>
          <w:rFonts w:ascii="Times New Roman" w:eastAsia="Times New Roman" w:hAnsi="Times New Roman" w:cs="Times New Roman"/>
          <w:bCs/>
          <w:kern w:val="24"/>
          <w:sz w:val="28"/>
          <w:szCs w:val="28"/>
          <w:lang w:eastAsia="ru-RU"/>
        </w:rPr>
        <w:t xml:space="preserve"> группа) </w:t>
      </w:r>
      <w:r w:rsidRPr="002D1A88">
        <w:rPr>
          <w:rFonts w:ascii="Times New Roman" w:hAnsi="Times New Roman" w:cs="Times New Roman"/>
          <w:sz w:val="28"/>
          <w:szCs w:val="28"/>
          <w:shd w:val="clear" w:color="auto" w:fill="FFFFFF"/>
        </w:rPr>
        <w:t>представлены в таблице 1.</w:t>
      </w:r>
    </w:p>
    <w:p w:rsidR="007416B3" w:rsidRDefault="00680C0A" w:rsidP="007416B3">
      <w:pPr>
        <w:spacing w:after="0" w:line="276" w:lineRule="auto"/>
        <w:jc w:val="both"/>
        <w:rPr>
          <w:rFonts w:ascii="Times New Roman" w:hAnsi="Times New Roman" w:cs="Times New Roman"/>
          <w:b/>
          <w:i/>
          <w:color w:val="000000" w:themeColor="text1"/>
          <w:sz w:val="28"/>
          <w:szCs w:val="28"/>
          <w:shd w:val="clear" w:color="auto" w:fill="FFFFFF"/>
        </w:rPr>
      </w:pPr>
      <w:r w:rsidRPr="00680C0A">
        <w:rPr>
          <w:rFonts w:ascii="Times New Roman" w:hAnsi="Times New Roman" w:cs="Times New Roman"/>
          <w:i/>
          <w:color w:val="000000" w:themeColor="text1"/>
          <w:sz w:val="28"/>
          <w:szCs w:val="28"/>
        </w:rPr>
        <w:t>Таблица 1.</w:t>
      </w:r>
      <w:r w:rsidR="007416B3" w:rsidRPr="007416B3">
        <w:rPr>
          <w:rFonts w:ascii="Times New Roman" w:hAnsi="Times New Roman" w:cs="Times New Roman"/>
          <w:i/>
          <w:color w:val="000000" w:themeColor="text1"/>
          <w:sz w:val="28"/>
          <w:szCs w:val="28"/>
        </w:rPr>
        <w:t xml:space="preserve"> </w:t>
      </w:r>
      <w:r w:rsidRPr="00680C0A">
        <w:rPr>
          <w:rFonts w:ascii="Times New Roman" w:hAnsi="Times New Roman" w:cs="Times New Roman"/>
          <w:b/>
          <w:i/>
          <w:color w:val="000000" w:themeColor="text1"/>
          <w:sz w:val="28"/>
          <w:szCs w:val="28"/>
          <w:shd w:val="clear" w:color="auto" w:fill="FFFFFF"/>
        </w:rPr>
        <w:t>Результаты комплексного обследования с применением различных методов у больных туберкулезом</w:t>
      </w:r>
    </w:p>
    <w:p w:rsidR="007416B3" w:rsidRPr="007416B3" w:rsidRDefault="007416B3" w:rsidP="007416B3">
      <w:pPr>
        <w:spacing w:after="0" w:line="276" w:lineRule="auto"/>
        <w:jc w:val="both"/>
        <w:rPr>
          <w:rFonts w:ascii="Times New Roman" w:hAnsi="Times New Roman" w:cs="Times New Roman"/>
          <w:b/>
          <w:i/>
          <w:color w:val="000000" w:themeColor="text1"/>
          <w:sz w:val="28"/>
          <w:szCs w:val="28"/>
          <w:shd w:val="clear" w:color="auto" w:fill="FFFFFF"/>
        </w:rPr>
      </w:pPr>
    </w:p>
    <w:p w:rsidR="002D1A88" w:rsidRPr="002D1A88" w:rsidRDefault="002D1A88" w:rsidP="002D1A88">
      <w:pPr>
        <w:spacing w:after="200" w:line="360" w:lineRule="auto"/>
        <w:ind w:firstLine="851"/>
        <w:jc w:val="both"/>
        <w:rPr>
          <w:rFonts w:ascii="Times New Roman" w:hAnsi="Times New Roman" w:cs="Times New Roman"/>
          <w:sz w:val="28"/>
          <w:szCs w:val="28"/>
          <w:shd w:val="clear" w:color="auto" w:fill="FFFFFF"/>
        </w:rPr>
      </w:pPr>
      <w:r w:rsidRPr="002D1A88">
        <w:rPr>
          <w:rFonts w:ascii="Times New Roman" w:hAnsi="Times New Roman" w:cs="Times New Roman"/>
          <w:sz w:val="28"/>
          <w:szCs w:val="28"/>
          <w:shd w:val="clear" w:color="auto" w:fill="FFFFFF"/>
        </w:rPr>
        <w:t xml:space="preserve">Представленные в таблице 1 данные демонстрируют возможность получения положительного результата по данным методов, на основании которых осуществлялась диагностика туберкулеза. У всех больных определялось только наличие рентгенологических изменений, при этом клиническая симптоматика могла определяться в 70% случаев, а бактериологическое подтверждение диагноза было получено только в 45,2% случаев. </w:t>
      </w:r>
    </w:p>
    <w:p w:rsidR="002D1A88" w:rsidRPr="002D1A88" w:rsidRDefault="002D1A88" w:rsidP="002D1A88">
      <w:pPr>
        <w:spacing w:after="200" w:line="360" w:lineRule="auto"/>
        <w:ind w:firstLine="851"/>
        <w:jc w:val="both"/>
        <w:rPr>
          <w:rFonts w:ascii="Times New Roman" w:hAnsi="Times New Roman" w:cs="Times New Roman"/>
          <w:sz w:val="28"/>
          <w:szCs w:val="28"/>
          <w:shd w:val="clear" w:color="auto" w:fill="FFFFFF"/>
        </w:rPr>
      </w:pPr>
      <w:r w:rsidRPr="002D1A88">
        <w:rPr>
          <w:rFonts w:ascii="Times New Roman" w:hAnsi="Times New Roman" w:cs="Times New Roman"/>
          <w:sz w:val="28"/>
          <w:szCs w:val="28"/>
          <w:shd w:val="clear" w:color="auto" w:fill="FFFFFF"/>
        </w:rPr>
        <w:t xml:space="preserve">Применение иммунологических методов может улучшить диагностику туберкулеза в условиях отсутствия бактериовыделения. С целью анализа результатов тестов группа больных туберкулезом легких была разделена на две подгруппы </w:t>
      </w:r>
      <w:r w:rsidRPr="002D1A88">
        <w:rPr>
          <w:rFonts w:ascii="Times New Roman" w:hAnsi="Times New Roman" w:cs="Times New Roman"/>
          <w:sz w:val="28"/>
          <w:szCs w:val="28"/>
          <w:shd w:val="clear" w:color="auto" w:fill="FFFFFF"/>
          <w:lang w:val="en-CA"/>
        </w:rPr>
        <w:t>Ia</w:t>
      </w:r>
      <w:r w:rsidRPr="002D1A88">
        <w:rPr>
          <w:rFonts w:ascii="Times New Roman" w:hAnsi="Times New Roman" w:cs="Times New Roman"/>
          <w:sz w:val="28"/>
          <w:szCs w:val="28"/>
          <w:shd w:val="clear" w:color="auto" w:fill="FFFFFF"/>
        </w:rPr>
        <w:t xml:space="preserve"> и </w:t>
      </w:r>
      <w:r w:rsidRPr="002D1A88">
        <w:rPr>
          <w:rFonts w:ascii="Times New Roman" w:hAnsi="Times New Roman" w:cs="Times New Roman"/>
          <w:sz w:val="28"/>
          <w:szCs w:val="28"/>
          <w:shd w:val="clear" w:color="auto" w:fill="FFFFFF"/>
          <w:lang w:val="en-CA"/>
        </w:rPr>
        <w:t>Ib</w:t>
      </w:r>
      <w:r w:rsidRPr="002D1A88">
        <w:rPr>
          <w:rFonts w:ascii="Times New Roman" w:hAnsi="Times New Roman" w:cs="Times New Roman"/>
          <w:sz w:val="28"/>
          <w:szCs w:val="28"/>
          <w:shd w:val="clear" w:color="auto" w:fill="FFFFFF"/>
        </w:rPr>
        <w:t xml:space="preserve">, с бактериовыделением и без бактериовыделения соответственно.  Положительные результаты иммунологических тестов в подгруппах представлены в таблице 2. </w:t>
      </w:r>
    </w:p>
    <w:p w:rsidR="007416B3" w:rsidRDefault="00680C0A" w:rsidP="00287424">
      <w:pPr>
        <w:spacing w:after="0" w:line="276" w:lineRule="auto"/>
        <w:jc w:val="both"/>
        <w:rPr>
          <w:rFonts w:ascii="Times New Roman" w:hAnsi="Times New Roman" w:cs="Times New Roman"/>
          <w:b/>
          <w:i/>
          <w:color w:val="000000" w:themeColor="text1"/>
          <w:sz w:val="28"/>
          <w:szCs w:val="28"/>
        </w:rPr>
      </w:pPr>
      <w:r w:rsidRPr="00680C0A">
        <w:rPr>
          <w:rFonts w:ascii="Times New Roman" w:hAnsi="Times New Roman" w:cs="Times New Roman"/>
          <w:b/>
          <w:i/>
          <w:color w:val="000000" w:themeColor="text1"/>
          <w:sz w:val="28"/>
          <w:szCs w:val="28"/>
        </w:rPr>
        <w:lastRenderedPageBreak/>
        <w:t>Таблица 2.</w:t>
      </w:r>
      <w:r w:rsidR="007416B3" w:rsidRPr="007416B3">
        <w:rPr>
          <w:rFonts w:ascii="Times New Roman" w:hAnsi="Times New Roman" w:cs="Times New Roman"/>
          <w:b/>
          <w:i/>
          <w:color w:val="000000" w:themeColor="text1"/>
          <w:sz w:val="28"/>
          <w:szCs w:val="28"/>
        </w:rPr>
        <w:t xml:space="preserve"> </w:t>
      </w:r>
      <w:r w:rsidRPr="00680C0A">
        <w:rPr>
          <w:rFonts w:ascii="Times New Roman" w:hAnsi="Times New Roman" w:cs="Times New Roman"/>
          <w:b/>
          <w:i/>
          <w:color w:val="000000" w:themeColor="text1"/>
          <w:sz w:val="28"/>
          <w:szCs w:val="28"/>
        </w:rPr>
        <w:t xml:space="preserve">Результаты различных диагностических тестов у больных туберкулезом </w:t>
      </w:r>
    </w:p>
    <w:p w:rsidR="00287424" w:rsidRPr="00287424" w:rsidRDefault="00287424" w:rsidP="00287424">
      <w:pPr>
        <w:spacing w:after="0" w:line="276" w:lineRule="auto"/>
        <w:jc w:val="both"/>
        <w:rPr>
          <w:rFonts w:ascii="Times New Roman" w:hAnsi="Times New Roman" w:cs="Times New Roman"/>
          <w:b/>
          <w:i/>
          <w:color w:val="000000" w:themeColor="text1"/>
          <w:sz w:val="28"/>
          <w:szCs w:val="28"/>
        </w:rPr>
      </w:pPr>
    </w:p>
    <w:bookmarkEnd w:id="0"/>
    <w:bookmarkEnd w:id="1"/>
    <w:p w:rsidR="00287424" w:rsidRPr="00287424" w:rsidRDefault="00287424" w:rsidP="00287424">
      <w:pPr>
        <w:spacing w:after="200" w:line="360" w:lineRule="auto"/>
        <w:ind w:firstLine="851"/>
        <w:jc w:val="both"/>
        <w:outlineLvl w:val="0"/>
        <w:rPr>
          <w:rFonts w:ascii="Times New Roman" w:hAnsi="Times New Roman" w:cs="Times New Roman"/>
          <w:color w:val="000000" w:themeColor="text1"/>
          <w:sz w:val="28"/>
          <w:szCs w:val="28"/>
        </w:rPr>
      </w:pPr>
      <w:r w:rsidRPr="00287424">
        <w:rPr>
          <w:rFonts w:ascii="Times New Roman" w:hAnsi="Times New Roman" w:cs="Times New Roman"/>
          <w:color w:val="000000" w:themeColor="text1"/>
          <w:sz w:val="28"/>
          <w:szCs w:val="28"/>
        </w:rPr>
        <w:t xml:space="preserve">Как представлено в таблице 2, получение положительных результатов с применением иммунологических тестов у больных туберкулезом варьируется от 84,9% до 90,6% в </w:t>
      </w:r>
      <w:r w:rsidRPr="00287424">
        <w:rPr>
          <w:rFonts w:ascii="Times New Roman" w:hAnsi="Times New Roman" w:cs="Times New Roman"/>
          <w:color w:val="000000" w:themeColor="text1"/>
          <w:sz w:val="28"/>
          <w:szCs w:val="28"/>
          <w:lang w:val="en-CA"/>
        </w:rPr>
        <w:t>Ia</w:t>
      </w:r>
      <w:r w:rsidRPr="00287424">
        <w:rPr>
          <w:rFonts w:ascii="Times New Roman" w:hAnsi="Times New Roman" w:cs="Times New Roman"/>
          <w:color w:val="000000" w:themeColor="text1"/>
          <w:sz w:val="28"/>
          <w:szCs w:val="28"/>
        </w:rPr>
        <w:t xml:space="preserve"> и от 69,4% до 83,6% - в </w:t>
      </w:r>
      <w:r w:rsidRPr="00287424">
        <w:rPr>
          <w:rFonts w:ascii="Times New Roman" w:hAnsi="Times New Roman" w:cs="Times New Roman"/>
          <w:color w:val="000000" w:themeColor="text1"/>
          <w:sz w:val="28"/>
          <w:szCs w:val="28"/>
          <w:lang w:val="en-CA"/>
        </w:rPr>
        <w:t>Ib</w:t>
      </w:r>
      <w:r w:rsidRPr="00287424">
        <w:rPr>
          <w:rFonts w:ascii="Times New Roman" w:hAnsi="Times New Roman" w:cs="Times New Roman"/>
          <w:color w:val="000000" w:themeColor="text1"/>
          <w:sz w:val="28"/>
          <w:szCs w:val="28"/>
        </w:rPr>
        <w:t xml:space="preserve"> подгруппе в зависимости от применения тестов.</w:t>
      </w:r>
    </w:p>
    <w:p w:rsidR="00287424" w:rsidRPr="00287424" w:rsidRDefault="00287424" w:rsidP="00287424">
      <w:pPr>
        <w:spacing w:after="200" w:line="360" w:lineRule="auto"/>
        <w:ind w:firstLine="851"/>
        <w:jc w:val="both"/>
        <w:outlineLvl w:val="0"/>
        <w:rPr>
          <w:rFonts w:ascii="Times New Roman" w:hAnsi="Times New Roman" w:cs="Times New Roman"/>
          <w:color w:val="000000" w:themeColor="text1"/>
          <w:sz w:val="28"/>
          <w:szCs w:val="28"/>
        </w:rPr>
      </w:pPr>
      <w:r w:rsidRPr="00287424">
        <w:rPr>
          <w:rFonts w:ascii="Times New Roman" w:hAnsi="Times New Roman" w:cs="Times New Roman"/>
          <w:color w:val="000000" w:themeColor="text1"/>
          <w:sz w:val="28"/>
          <w:szCs w:val="28"/>
        </w:rPr>
        <w:t xml:space="preserve">Таким образом, проведенный комплекс обследования наглядно демонстрирует отсутствие возможности верификации диагноза туберкулеза легких в половине случаев, при этом при наличии соответствующих рентгенологических изменений клиническая симптоматика регистрируется в 60% случаев.  </w:t>
      </w:r>
    </w:p>
    <w:p w:rsidR="00287424" w:rsidRPr="00287424" w:rsidRDefault="00287424" w:rsidP="00287424">
      <w:pPr>
        <w:spacing w:after="200" w:line="360" w:lineRule="auto"/>
        <w:ind w:firstLine="851"/>
        <w:jc w:val="both"/>
        <w:outlineLvl w:val="0"/>
        <w:rPr>
          <w:rFonts w:ascii="Times New Roman" w:hAnsi="Times New Roman" w:cs="Times New Roman"/>
          <w:color w:val="000000" w:themeColor="text1"/>
          <w:sz w:val="28"/>
          <w:szCs w:val="28"/>
        </w:rPr>
      </w:pPr>
      <w:r w:rsidRPr="00287424">
        <w:rPr>
          <w:rFonts w:ascii="Times New Roman" w:hAnsi="Times New Roman" w:cs="Times New Roman"/>
          <w:color w:val="000000" w:themeColor="text1"/>
          <w:sz w:val="28"/>
          <w:szCs w:val="28"/>
        </w:rPr>
        <w:t xml:space="preserve"> Регистрация латентной туберкулезной инфекции возможна только при наличии положительного иммунологического теста. В данном исследовании учитывались только результаты новых иммунологических тестов (</w:t>
      </w:r>
      <w:r w:rsidRPr="00287424">
        <w:rPr>
          <w:rFonts w:ascii="Times New Roman" w:hAnsi="Times New Roman" w:cs="Times New Roman"/>
          <w:color w:val="000000" w:themeColor="text1"/>
          <w:sz w:val="28"/>
          <w:szCs w:val="28"/>
          <w:lang w:val="en-US"/>
        </w:rPr>
        <w:t>T</w:t>
      </w:r>
      <w:r w:rsidRPr="00287424">
        <w:rPr>
          <w:rFonts w:ascii="Times New Roman" w:hAnsi="Times New Roman" w:cs="Times New Roman"/>
          <w:color w:val="000000" w:themeColor="text1"/>
          <w:sz w:val="28"/>
          <w:szCs w:val="28"/>
        </w:rPr>
        <w:t>-</w:t>
      </w:r>
      <w:r w:rsidRPr="00287424">
        <w:rPr>
          <w:rFonts w:ascii="Times New Roman" w:hAnsi="Times New Roman" w:cs="Times New Roman"/>
          <w:color w:val="000000" w:themeColor="text1"/>
          <w:sz w:val="28"/>
          <w:szCs w:val="28"/>
          <w:lang w:val="en-US"/>
        </w:rPr>
        <w:t>SPOT</w:t>
      </w:r>
      <w:r w:rsidRPr="00287424">
        <w:rPr>
          <w:rFonts w:ascii="Times New Roman" w:hAnsi="Times New Roman" w:cs="Times New Roman"/>
          <w:color w:val="000000" w:themeColor="text1"/>
          <w:sz w:val="28"/>
          <w:szCs w:val="28"/>
        </w:rPr>
        <w:t xml:space="preserve">, </w:t>
      </w:r>
      <w:r w:rsidRPr="00287424">
        <w:rPr>
          <w:rFonts w:ascii="Times New Roman" w:hAnsi="Times New Roman" w:cs="Times New Roman"/>
          <w:color w:val="000000" w:themeColor="text1"/>
          <w:sz w:val="28"/>
          <w:szCs w:val="28"/>
          <w:lang w:val="en-US"/>
        </w:rPr>
        <w:t>QTF</w:t>
      </w:r>
      <w:r w:rsidRPr="00287424">
        <w:rPr>
          <w:rFonts w:ascii="Times New Roman" w:hAnsi="Times New Roman" w:cs="Times New Roman"/>
          <w:color w:val="000000" w:themeColor="text1"/>
          <w:sz w:val="28"/>
          <w:szCs w:val="28"/>
        </w:rPr>
        <w:t xml:space="preserve"> и </w:t>
      </w:r>
      <w:r w:rsidRPr="00287424">
        <w:rPr>
          <w:rFonts w:ascii="Times New Roman" w:hAnsi="Times New Roman" w:cs="Times New Roman"/>
          <w:color w:val="000000" w:themeColor="text1"/>
          <w:sz w:val="28"/>
          <w:szCs w:val="28"/>
          <w:lang w:val="en-CA"/>
        </w:rPr>
        <w:t>DST</w:t>
      </w:r>
      <w:r w:rsidRPr="00287424">
        <w:rPr>
          <w:rFonts w:ascii="Times New Roman" w:hAnsi="Times New Roman" w:cs="Times New Roman"/>
          <w:color w:val="000000" w:themeColor="text1"/>
          <w:sz w:val="28"/>
          <w:szCs w:val="28"/>
        </w:rPr>
        <w:t xml:space="preserve">) при отсутствии клинических и рентгенологических проявлений активного туберкулеза. Очевидно, что у лиц с ЛТИ в 100% случаев имеет место положительный иммунологический тест, тогда как положительный тест у больных туберкулезом был в 69,4% и 90,6% случаев в зависимости от диагностических возможностей применяемого теста.  Полученные данные демонстрируют отсутствие возможности подтвердить туберкулез на основании бактериологических методов и различить ЛТИ и активный туберкулез при отсутствии различий по результатам существующих иммунологических методов, что требует разработки новых критериев определения активности туберкулезной инфекции на основании именно иммунологических методов, которые позволяют без выявления возбудителя констатировать иммунный ответ на наличие микобактерий туберкулёза </w:t>
      </w:r>
      <w:r w:rsidRPr="00287424">
        <w:rPr>
          <w:rFonts w:ascii="Times New Roman" w:hAnsi="Times New Roman" w:cs="Times New Roman"/>
          <w:color w:val="FF0000"/>
          <w:sz w:val="28"/>
          <w:szCs w:val="28"/>
        </w:rPr>
        <w:t xml:space="preserve">в </w:t>
      </w:r>
      <w:r w:rsidRPr="00287424">
        <w:rPr>
          <w:rFonts w:ascii="Times New Roman" w:hAnsi="Times New Roman" w:cs="Times New Roman"/>
          <w:color w:val="000000" w:themeColor="text1"/>
          <w:sz w:val="28"/>
          <w:szCs w:val="28"/>
        </w:rPr>
        <w:t>организме человека.</w:t>
      </w:r>
    </w:p>
    <w:p w:rsidR="00287424" w:rsidRPr="00287424" w:rsidRDefault="00287424" w:rsidP="00287424">
      <w:pPr>
        <w:spacing w:after="200" w:line="360" w:lineRule="auto"/>
        <w:ind w:firstLine="851"/>
        <w:jc w:val="both"/>
        <w:outlineLvl w:val="0"/>
        <w:rPr>
          <w:rFonts w:ascii="Times New Roman" w:hAnsi="Times New Roman" w:cs="Times New Roman"/>
          <w:color w:val="000000" w:themeColor="text1"/>
          <w:sz w:val="28"/>
          <w:szCs w:val="28"/>
        </w:rPr>
      </w:pPr>
      <w:r w:rsidRPr="00287424">
        <w:rPr>
          <w:rFonts w:ascii="Times New Roman" w:hAnsi="Times New Roman" w:cs="Times New Roman"/>
          <w:color w:val="000000" w:themeColor="text1"/>
          <w:sz w:val="28"/>
          <w:szCs w:val="28"/>
        </w:rPr>
        <w:lastRenderedPageBreak/>
        <w:t>Далее был проведен анализ уровня иммуноглобулинов, которые определялись в трех группах наблюдения с помощью метода динамического светорассеяния. При этом определение иммуноглобулинов осуществлялось у больных туберкулезом с верифицированным диагнозом (</w:t>
      </w:r>
      <w:r w:rsidRPr="00287424">
        <w:rPr>
          <w:rFonts w:ascii="Times New Roman" w:hAnsi="Times New Roman" w:cs="Times New Roman"/>
          <w:color w:val="000000" w:themeColor="text1"/>
          <w:sz w:val="28"/>
          <w:szCs w:val="28"/>
          <w:lang w:val="en-CA"/>
        </w:rPr>
        <w:t>Ia</w:t>
      </w:r>
      <w:r w:rsidRPr="00287424">
        <w:rPr>
          <w:rFonts w:ascii="Times New Roman" w:hAnsi="Times New Roman" w:cs="Times New Roman"/>
          <w:color w:val="000000" w:themeColor="text1"/>
          <w:sz w:val="28"/>
          <w:szCs w:val="28"/>
        </w:rPr>
        <w:t xml:space="preserve"> подгруппа).</w:t>
      </w:r>
    </w:p>
    <w:p w:rsidR="00287424" w:rsidRPr="00287424" w:rsidRDefault="00287424" w:rsidP="00287424">
      <w:pPr>
        <w:spacing w:after="200" w:line="360" w:lineRule="auto"/>
        <w:ind w:firstLine="851"/>
        <w:jc w:val="both"/>
        <w:rPr>
          <w:rFonts w:ascii="Times New Roman" w:hAnsi="Times New Roman" w:cs="Times New Roman"/>
          <w:color w:val="000000" w:themeColor="text1"/>
          <w:sz w:val="28"/>
          <w:szCs w:val="28"/>
          <w:shd w:val="clear" w:color="auto" w:fill="FFFFFF"/>
        </w:rPr>
      </w:pPr>
      <w:r w:rsidRPr="00287424">
        <w:rPr>
          <w:rFonts w:ascii="Times New Roman" w:hAnsi="Times New Roman" w:cs="Times New Roman"/>
          <w:color w:val="000000" w:themeColor="text1"/>
          <w:sz w:val="28"/>
          <w:szCs w:val="28"/>
        </w:rPr>
        <w:t xml:space="preserve">Результаты определения </w:t>
      </w:r>
      <w:r w:rsidRPr="00287424">
        <w:rPr>
          <w:rFonts w:ascii="Times New Roman" w:hAnsi="Times New Roman" w:cs="Times New Roman"/>
          <w:color w:val="000000" w:themeColor="text1"/>
          <w:sz w:val="28"/>
          <w:szCs w:val="28"/>
          <w:shd w:val="clear" w:color="auto" w:fill="FFFFFF"/>
        </w:rPr>
        <w:t>уровня специфических ИК в плазме крови в группах сравнения (</w:t>
      </w:r>
      <w:r w:rsidRPr="00287424">
        <w:rPr>
          <w:rFonts w:ascii="Times New Roman" w:hAnsi="Times New Roman" w:cs="Times New Roman"/>
          <w:color w:val="000000" w:themeColor="text1"/>
          <w:sz w:val="28"/>
          <w:szCs w:val="28"/>
          <w:shd w:val="clear" w:color="auto" w:fill="FFFFFF"/>
          <w:lang w:val="en-CA"/>
        </w:rPr>
        <w:t>I</w:t>
      </w:r>
      <w:r w:rsidRPr="00287424">
        <w:rPr>
          <w:rFonts w:ascii="Times New Roman" w:hAnsi="Times New Roman" w:cs="Times New Roman"/>
          <w:color w:val="000000" w:themeColor="text1"/>
          <w:sz w:val="28"/>
          <w:szCs w:val="28"/>
          <w:shd w:val="clear" w:color="auto" w:fill="FFFFFF"/>
        </w:rPr>
        <w:t xml:space="preserve">а и </w:t>
      </w:r>
      <w:r w:rsidRPr="00287424">
        <w:rPr>
          <w:rFonts w:ascii="Times New Roman" w:hAnsi="Times New Roman" w:cs="Times New Roman"/>
          <w:color w:val="000000" w:themeColor="text1"/>
          <w:sz w:val="28"/>
          <w:szCs w:val="28"/>
          <w:shd w:val="clear" w:color="auto" w:fill="FFFFFF"/>
          <w:lang w:val="en-CA"/>
        </w:rPr>
        <w:t>II</w:t>
      </w:r>
      <w:r w:rsidRPr="00287424">
        <w:rPr>
          <w:rFonts w:ascii="Times New Roman" w:hAnsi="Times New Roman" w:cs="Times New Roman"/>
          <w:color w:val="000000" w:themeColor="text1"/>
          <w:sz w:val="28"/>
          <w:szCs w:val="28"/>
          <w:shd w:val="clear" w:color="auto" w:fill="FFFFFF"/>
        </w:rPr>
        <w:t>), а также в группе контроля (</w:t>
      </w:r>
      <w:r w:rsidRPr="00287424">
        <w:rPr>
          <w:rFonts w:ascii="Times New Roman" w:hAnsi="Times New Roman" w:cs="Times New Roman"/>
          <w:color w:val="000000" w:themeColor="text1"/>
          <w:sz w:val="28"/>
          <w:szCs w:val="28"/>
          <w:shd w:val="clear" w:color="auto" w:fill="FFFFFF"/>
          <w:lang w:val="en-CA"/>
        </w:rPr>
        <w:t>III</w:t>
      </w:r>
      <w:r w:rsidRPr="00287424">
        <w:rPr>
          <w:rFonts w:ascii="Times New Roman" w:hAnsi="Times New Roman" w:cs="Times New Roman"/>
          <w:color w:val="000000" w:themeColor="text1"/>
          <w:sz w:val="28"/>
          <w:szCs w:val="28"/>
          <w:shd w:val="clear" w:color="auto" w:fill="FFFFFF"/>
        </w:rPr>
        <w:t xml:space="preserve">) представлены в таблице 3. </w:t>
      </w:r>
    </w:p>
    <w:p w:rsidR="00680C0A" w:rsidRPr="007416B3" w:rsidRDefault="00680C0A" w:rsidP="007416B3">
      <w:pPr>
        <w:spacing w:after="200" w:line="360" w:lineRule="auto"/>
        <w:jc w:val="both"/>
        <w:outlineLvl w:val="0"/>
        <w:rPr>
          <w:rFonts w:ascii="Times New Roman" w:hAnsi="Times New Roman" w:cs="Times New Roman"/>
          <w:b/>
          <w:i/>
          <w:noProof/>
          <w:color w:val="000000" w:themeColor="text1"/>
          <w:sz w:val="28"/>
          <w:szCs w:val="28"/>
        </w:rPr>
      </w:pPr>
      <w:r w:rsidRPr="00680C0A">
        <w:rPr>
          <w:rFonts w:ascii="Times New Roman" w:hAnsi="Times New Roman" w:cs="Times New Roman"/>
          <w:b/>
          <w:i/>
          <w:color w:val="000000" w:themeColor="text1"/>
          <w:sz w:val="28"/>
          <w:szCs w:val="28"/>
        </w:rPr>
        <w:t>Таблица 3</w:t>
      </w:r>
      <w:r w:rsidR="007416B3" w:rsidRPr="007416B3">
        <w:rPr>
          <w:rFonts w:ascii="Times New Roman" w:hAnsi="Times New Roman" w:cs="Times New Roman"/>
          <w:b/>
          <w:i/>
          <w:color w:val="000000" w:themeColor="text1"/>
          <w:sz w:val="28"/>
          <w:szCs w:val="28"/>
        </w:rPr>
        <w:t xml:space="preserve"> </w:t>
      </w:r>
      <w:r w:rsidRPr="00680C0A">
        <w:rPr>
          <w:rFonts w:ascii="Times New Roman" w:hAnsi="Times New Roman" w:cs="Times New Roman"/>
          <w:b/>
          <w:i/>
          <w:noProof/>
          <w:color w:val="000000" w:themeColor="text1"/>
          <w:sz w:val="28"/>
          <w:szCs w:val="28"/>
        </w:rPr>
        <w:t>Определение иммунных комплексов в крови после  добавления антигенного материала ESAT-6/SFP-10 в группах</w:t>
      </w:r>
      <w:bookmarkStart w:id="3" w:name="_Hlk507281974"/>
    </w:p>
    <w:bookmarkEnd w:id="3"/>
    <w:p w:rsidR="00680C0A" w:rsidRPr="00680C0A" w:rsidRDefault="00680C0A" w:rsidP="00680C0A">
      <w:pPr>
        <w:spacing w:after="200" w:line="360" w:lineRule="auto"/>
        <w:ind w:firstLine="851"/>
        <w:jc w:val="both"/>
        <w:rPr>
          <w:rFonts w:ascii="Times New Roman" w:hAnsi="Times New Roman" w:cs="Times New Roman"/>
          <w:color w:val="000000" w:themeColor="text1"/>
          <w:sz w:val="28"/>
          <w:szCs w:val="28"/>
        </w:rPr>
      </w:pPr>
      <w:r w:rsidRPr="00680C0A">
        <w:rPr>
          <w:rFonts w:ascii="Times New Roman" w:hAnsi="Times New Roman" w:cs="Times New Roman"/>
          <w:color w:val="000000" w:themeColor="text1"/>
          <w:sz w:val="28"/>
          <w:szCs w:val="28"/>
        </w:rPr>
        <w:t xml:space="preserve">Согласно представленным в таблице 3 данным, суммарные ИК определялись во всех группах в одинаковом проценте случаев, но во </w:t>
      </w:r>
      <w:r w:rsidRPr="00680C0A">
        <w:rPr>
          <w:rFonts w:ascii="Times New Roman" w:hAnsi="Times New Roman" w:cs="Times New Roman"/>
          <w:color w:val="000000" w:themeColor="text1"/>
          <w:sz w:val="28"/>
          <w:szCs w:val="28"/>
          <w:lang w:val="en-CA"/>
        </w:rPr>
        <w:t>II</w:t>
      </w:r>
      <w:r w:rsidRPr="00680C0A">
        <w:rPr>
          <w:rFonts w:ascii="Times New Roman" w:hAnsi="Times New Roman" w:cs="Times New Roman"/>
          <w:color w:val="000000" w:themeColor="text1"/>
          <w:sz w:val="28"/>
          <w:szCs w:val="28"/>
        </w:rPr>
        <w:t xml:space="preserve"> и </w:t>
      </w:r>
      <w:r w:rsidRPr="00680C0A">
        <w:rPr>
          <w:rFonts w:ascii="Times New Roman" w:hAnsi="Times New Roman" w:cs="Times New Roman"/>
          <w:color w:val="000000" w:themeColor="text1"/>
          <w:sz w:val="28"/>
          <w:szCs w:val="28"/>
          <w:lang w:val="en-CA"/>
        </w:rPr>
        <w:t>III</w:t>
      </w:r>
      <w:r w:rsidRPr="00680C0A">
        <w:rPr>
          <w:rFonts w:ascii="Times New Roman" w:hAnsi="Times New Roman" w:cs="Times New Roman"/>
          <w:color w:val="000000" w:themeColor="text1"/>
          <w:sz w:val="28"/>
          <w:szCs w:val="28"/>
        </w:rPr>
        <w:t xml:space="preserve"> группах они регистрировались на достоверно низком уровне, так же как </w:t>
      </w:r>
      <w:r w:rsidRPr="00680C0A">
        <w:rPr>
          <w:rFonts w:ascii="Times New Roman" w:hAnsi="Times New Roman" w:cs="Times New Roman"/>
          <w:color w:val="000000" w:themeColor="text1"/>
          <w:sz w:val="28"/>
          <w:szCs w:val="28"/>
          <w:lang w:val="en-CA"/>
        </w:rPr>
        <w:t>IgG</w:t>
      </w:r>
      <w:r w:rsidRPr="00680C0A">
        <w:rPr>
          <w:rFonts w:ascii="Times New Roman" w:hAnsi="Times New Roman" w:cs="Times New Roman"/>
          <w:color w:val="000000" w:themeColor="text1"/>
          <w:sz w:val="28"/>
          <w:szCs w:val="28"/>
        </w:rPr>
        <w:t xml:space="preserve">1. Следует отметить, что во </w:t>
      </w:r>
      <w:r w:rsidRPr="00680C0A">
        <w:rPr>
          <w:rFonts w:ascii="Times New Roman" w:hAnsi="Times New Roman" w:cs="Times New Roman"/>
          <w:color w:val="000000" w:themeColor="text1"/>
          <w:sz w:val="28"/>
          <w:szCs w:val="28"/>
          <w:lang w:val="en-CA"/>
        </w:rPr>
        <w:t>II</w:t>
      </w:r>
      <w:r w:rsidRPr="00680C0A">
        <w:rPr>
          <w:rFonts w:ascii="Times New Roman" w:hAnsi="Times New Roman" w:cs="Times New Roman"/>
          <w:color w:val="000000" w:themeColor="text1"/>
          <w:sz w:val="28"/>
          <w:szCs w:val="28"/>
        </w:rPr>
        <w:t xml:space="preserve"> и </w:t>
      </w:r>
      <w:r w:rsidRPr="00680C0A">
        <w:rPr>
          <w:rFonts w:ascii="Times New Roman" w:hAnsi="Times New Roman" w:cs="Times New Roman"/>
          <w:color w:val="000000" w:themeColor="text1"/>
          <w:sz w:val="28"/>
          <w:szCs w:val="28"/>
          <w:lang w:val="en-CA"/>
        </w:rPr>
        <w:t>III</w:t>
      </w:r>
      <w:r w:rsidRPr="00680C0A">
        <w:rPr>
          <w:rFonts w:ascii="Times New Roman" w:hAnsi="Times New Roman" w:cs="Times New Roman"/>
          <w:color w:val="000000" w:themeColor="text1"/>
          <w:sz w:val="28"/>
          <w:szCs w:val="28"/>
        </w:rPr>
        <w:t xml:space="preserve"> группах в единичных случаях определялись </w:t>
      </w:r>
      <w:r w:rsidRPr="00680C0A">
        <w:rPr>
          <w:rFonts w:ascii="Times New Roman" w:hAnsi="Times New Roman" w:cs="Times New Roman"/>
          <w:color w:val="000000" w:themeColor="text1"/>
          <w:sz w:val="28"/>
          <w:szCs w:val="28"/>
          <w:lang w:val="en-CA"/>
        </w:rPr>
        <w:t>IgG</w:t>
      </w:r>
      <w:r w:rsidRPr="00680C0A">
        <w:rPr>
          <w:rFonts w:ascii="Times New Roman" w:hAnsi="Times New Roman" w:cs="Times New Roman"/>
          <w:color w:val="000000" w:themeColor="text1"/>
          <w:sz w:val="28"/>
          <w:szCs w:val="28"/>
        </w:rPr>
        <w:t xml:space="preserve">3 и </w:t>
      </w:r>
      <w:r w:rsidRPr="00680C0A">
        <w:rPr>
          <w:rFonts w:ascii="Times New Roman" w:hAnsi="Times New Roman" w:cs="Times New Roman"/>
          <w:color w:val="000000" w:themeColor="text1"/>
          <w:sz w:val="28"/>
          <w:szCs w:val="28"/>
          <w:lang w:val="en-CA"/>
        </w:rPr>
        <w:t>Ig</w:t>
      </w:r>
      <w:r w:rsidRPr="00680C0A">
        <w:rPr>
          <w:rFonts w:ascii="Times New Roman" w:hAnsi="Times New Roman" w:cs="Times New Roman"/>
          <w:color w:val="000000" w:themeColor="text1"/>
          <w:sz w:val="28"/>
          <w:szCs w:val="28"/>
        </w:rPr>
        <w:t xml:space="preserve">Е, также как изотипы </w:t>
      </w:r>
      <w:r w:rsidRPr="00680C0A">
        <w:rPr>
          <w:rFonts w:ascii="Times New Roman" w:hAnsi="Times New Roman" w:cs="Times New Roman"/>
          <w:color w:val="000000" w:themeColor="text1"/>
          <w:sz w:val="28"/>
          <w:szCs w:val="28"/>
          <w:lang w:val="en-US"/>
        </w:rPr>
        <w:t>IgG</w:t>
      </w:r>
      <w:r w:rsidRPr="00680C0A">
        <w:rPr>
          <w:rFonts w:ascii="Times New Roman" w:hAnsi="Times New Roman" w:cs="Times New Roman"/>
          <w:color w:val="000000" w:themeColor="text1"/>
          <w:sz w:val="28"/>
          <w:szCs w:val="28"/>
        </w:rPr>
        <w:t>1+</w:t>
      </w:r>
      <w:r w:rsidRPr="00680C0A">
        <w:rPr>
          <w:rFonts w:ascii="Times New Roman" w:hAnsi="Times New Roman" w:cs="Times New Roman"/>
          <w:color w:val="000000" w:themeColor="text1"/>
          <w:sz w:val="28"/>
          <w:szCs w:val="28"/>
          <w:lang w:val="en-US"/>
        </w:rPr>
        <w:t>IgG</w:t>
      </w:r>
      <w:r w:rsidRPr="00680C0A">
        <w:rPr>
          <w:rFonts w:ascii="Times New Roman" w:hAnsi="Times New Roman" w:cs="Times New Roman"/>
          <w:color w:val="000000" w:themeColor="text1"/>
          <w:sz w:val="28"/>
          <w:szCs w:val="28"/>
        </w:rPr>
        <w:t xml:space="preserve">3, </w:t>
      </w:r>
      <w:r w:rsidRPr="00680C0A">
        <w:rPr>
          <w:rFonts w:ascii="Times New Roman" w:hAnsi="Times New Roman" w:cs="Times New Roman"/>
          <w:color w:val="000000" w:themeColor="text1"/>
          <w:sz w:val="28"/>
          <w:szCs w:val="28"/>
          <w:lang w:val="en-US"/>
        </w:rPr>
        <w:t>IgG</w:t>
      </w:r>
      <w:r w:rsidRPr="00680C0A">
        <w:rPr>
          <w:rFonts w:ascii="Times New Roman" w:hAnsi="Times New Roman" w:cs="Times New Roman"/>
          <w:color w:val="000000" w:themeColor="text1"/>
          <w:sz w:val="28"/>
          <w:szCs w:val="28"/>
        </w:rPr>
        <w:t>1+</w:t>
      </w:r>
      <w:r w:rsidRPr="00680C0A">
        <w:rPr>
          <w:rFonts w:ascii="Times New Roman" w:hAnsi="Times New Roman" w:cs="Times New Roman"/>
          <w:color w:val="000000" w:themeColor="text1"/>
          <w:sz w:val="28"/>
          <w:szCs w:val="28"/>
          <w:lang w:val="en-US"/>
        </w:rPr>
        <w:t>IgE</w:t>
      </w:r>
      <w:r w:rsidRPr="00680C0A">
        <w:rPr>
          <w:rFonts w:ascii="Times New Roman" w:hAnsi="Times New Roman" w:cs="Times New Roman"/>
          <w:color w:val="000000" w:themeColor="text1"/>
          <w:sz w:val="28"/>
          <w:szCs w:val="28"/>
        </w:rPr>
        <w:t xml:space="preserve"> и </w:t>
      </w:r>
      <w:r w:rsidRPr="00680C0A">
        <w:rPr>
          <w:rFonts w:ascii="Times New Roman" w:hAnsi="Times New Roman" w:cs="Times New Roman"/>
          <w:color w:val="000000" w:themeColor="text1"/>
          <w:sz w:val="28"/>
          <w:szCs w:val="28"/>
          <w:lang w:val="en-US"/>
        </w:rPr>
        <w:t>IgG</w:t>
      </w:r>
      <w:r w:rsidRPr="00680C0A">
        <w:rPr>
          <w:rFonts w:ascii="Times New Roman" w:hAnsi="Times New Roman" w:cs="Times New Roman"/>
          <w:color w:val="000000" w:themeColor="text1"/>
          <w:sz w:val="28"/>
          <w:szCs w:val="28"/>
        </w:rPr>
        <w:t>3+</w:t>
      </w:r>
      <w:r w:rsidRPr="00680C0A">
        <w:rPr>
          <w:rFonts w:ascii="Times New Roman" w:hAnsi="Times New Roman" w:cs="Times New Roman"/>
          <w:color w:val="000000" w:themeColor="text1"/>
          <w:sz w:val="28"/>
          <w:szCs w:val="28"/>
          <w:lang w:val="en-US"/>
        </w:rPr>
        <w:t>IgE</w:t>
      </w:r>
      <w:r w:rsidRPr="00680C0A">
        <w:rPr>
          <w:rFonts w:ascii="Times New Roman" w:hAnsi="Times New Roman" w:cs="Times New Roman"/>
          <w:color w:val="000000" w:themeColor="text1"/>
          <w:sz w:val="28"/>
          <w:szCs w:val="28"/>
        </w:rPr>
        <w:t xml:space="preserve">. </w:t>
      </w:r>
    </w:p>
    <w:p w:rsidR="00680C0A" w:rsidRPr="00680C0A" w:rsidRDefault="00680C0A" w:rsidP="00680C0A">
      <w:pPr>
        <w:spacing w:after="200" w:line="360" w:lineRule="auto"/>
        <w:ind w:firstLine="851"/>
        <w:jc w:val="both"/>
        <w:rPr>
          <w:rFonts w:ascii="Times New Roman" w:hAnsi="Times New Roman" w:cs="Times New Roman"/>
          <w:color w:val="000000" w:themeColor="text1"/>
          <w:sz w:val="28"/>
          <w:szCs w:val="28"/>
          <w:shd w:val="clear" w:color="auto" w:fill="FFFFFF"/>
        </w:rPr>
      </w:pPr>
      <w:r w:rsidRPr="00680C0A">
        <w:rPr>
          <w:rFonts w:ascii="Times New Roman" w:hAnsi="Times New Roman" w:cs="Times New Roman"/>
          <w:color w:val="000000" w:themeColor="text1"/>
          <w:sz w:val="28"/>
          <w:szCs w:val="28"/>
          <w:shd w:val="clear" w:color="auto" w:fill="FFFFFF"/>
        </w:rPr>
        <w:t xml:space="preserve">На основании полученных данных был проведен расчет показателей диагностической значимости метода, которые представлены </w:t>
      </w:r>
      <w:r w:rsidRPr="00680C0A">
        <w:rPr>
          <w:rFonts w:ascii="Times New Roman" w:hAnsi="Times New Roman" w:cs="Times New Roman"/>
          <w:noProof/>
          <w:color w:val="000000" w:themeColor="text1"/>
          <w:sz w:val="28"/>
          <w:szCs w:val="28"/>
        </w:rPr>
        <w:t>в таблице 4.</w:t>
      </w:r>
    </w:p>
    <w:p w:rsidR="00680C0A" w:rsidRPr="00680C0A" w:rsidRDefault="00680C0A" w:rsidP="007416B3">
      <w:pPr>
        <w:spacing w:after="200" w:line="276" w:lineRule="auto"/>
        <w:jc w:val="both"/>
        <w:rPr>
          <w:rFonts w:ascii="Times New Roman" w:hAnsi="Times New Roman" w:cs="Times New Roman"/>
          <w:b/>
          <w:i/>
          <w:color w:val="000000" w:themeColor="text1"/>
          <w:sz w:val="28"/>
          <w:szCs w:val="28"/>
        </w:rPr>
      </w:pPr>
      <w:r w:rsidRPr="00680C0A">
        <w:rPr>
          <w:rFonts w:ascii="Times New Roman" w:hAnsi="Times New Roman" w:cs="Times New Roman"/>
          <w:b/>
          <w:i/>
          <w:color w:val="000000" w:themeColor="text1"/>
          <w:sz w:val="28"/>
          <w:szCs w:val="28"/>
        </w:rPr>
        <w:t>Таблица 4</w:t>
      </w:r>
      <w:r w:rsidR="007416B3" w:rsidRPr="007416B3">
        <w:rPr>
          <w:rFonts w:ascii="Times New Roman" w:hAnsi="Times New Roman" w:cs="Times New Roman"/>
          <w:b/>
          <w:i/>
          <w:color w:val="000000" w:themeColor="text1"/>
          <w:sz w:val="28"/>
          <w:szCs w:val="28"/>
        </w:rPr>
        <w:t xml:space="preserve">. </w:t>
      </w:r>
      <w:r w:rsidRPr="00680C0A">
        <w:rPr>
          <w:rFonts w:ascii="Times New Roman" w:hAnsi="Times New Roman" w:cs="Times New Roman"/>
          <w:b/>
          <w:i/>
          <w:noProof/>
          <w:color w:val="000000" w:themeColor="text1"/>
          <w:sz w:val="28"/>
          <w:szCs w:val="28"/>
        </w:rPr>
        <w:t xml:space="preserve">Показатели диагностической значимости определения </w:t>
      </w:r>
      <w:r w:rsidR="007416B3" w:rsidRPr="007416B3">
        <w:rPr>
          <w:rFonts w:ascii="Times New Roman" w:hAnsi="Times New Roman" w:cs="Times New Roman"/>
          <w:b/>
          <w:i/>
          <w:color w:val="000000" w:themeColor="text1"/>
          <w:sz w:val="28"/>
          <w:szCs w:val="28"/>
        </w:rPr>
        <w:t xml:space="preserve"> </w:t>
      </w:r>
      <w:r w:rsidRPr="00680C0A">
        <w:rPr>
          <w:rFonts w:ascii="Times New Roman" w:hAnsi="Times New Roman" w:cs="Times New Roman"/>
          <w:b/>
          <w:i/>
          <w:noProof/>
          <w:color w:val="000000" w:themeColor="text1"/>
          <w:sz w:val="28"/>
          <w:szCs w:val="28"/>
        </w:rPr>
        <w:t xml:space="preserve">специфических иммунных комплексов </w:t>
      </w:r>
    </w:p>
    <w:p w:rsidR="00680C0A" w:rsidRPr="00680C0A" w:rsidRDefault="00680C0A" w:rsidP="00680C0A">
      <w:pPr>
        <w:spacing w:after="200" w:line="360" w:lineRule="auto"/>
        <w:ind w:firstLine="851"/>
        <w:jc w:val="both"/>
        <w:rPr>
          <w:rFonts w:ascii="Times New Roman" w:hAnsi="Times New Roman" w:cs="Times New Roman"/>
          <w:color w:val="000000" w:themeColor="text1"/>
          <w:sz w:val="28"/>
          <w:szCs w:val="28"/>
          <w:shd w:val="clear" w:color="auto" w:fill="FFFFFF"/>
        </w:rPr>
      </w:pPr>
      <w:r w:rsidRPr="00680C0A">
        <w:rPr>
          <w:rFonts w:ascii="Times New Roman" w:hAnsi="Times New Roman" w:cs="Times New Roman"/>
          <w:color w:val="000000" w:themeColor="text1"/>
          <w:sz w:val="28"/>
          <w:szCs w:val="28"/>
          <w:shd w:val="clear" w:color="auto" w:fill="FFFFFF"/>
        </w:rPr>
        <w:t xml:space="preserve">Как представлено в таблице 4, определение общих ИК, стимулированных специфическим антигеном, не имеет высокой диагностической значимости при определении туберкулёзной инфекции, но изотипы иммуноглобулинов демонстрируют высокую специфичность и чувствительность. </w:t>
      </w:r>
    </w:p>
    <w:p w:rsidR="00680C0A" w:rsidRPr="00680C0A" w:rsidRDefault="00680C0A" w:rsidP="00680C0A">
      <w:pPr>
        <w:spacing w:after="200" w:line="360" w:lineRule="auto"/>
        <w:ind w:firstLine="851"/>
        <w:jc w:val="both"/>
        <w:rPr>
          <w:rFonts w:ascii="Times New Roman" w:hAnsi="Times New Roman" w:cs="Times New Roman"/>
          <w:color w:val="000000" w:themeColor="text1"/>
          <w:sz w:val="28"/>
          <w:szCs w:val="28"/>
        </w:rPr>
      </w:pPr>
      <w:r w:rsidRPr="00680C0A">
        <w:rPr>
          <w:rFonts w:ascii="Times New Roman" w:hAnsi="Times New Roman" w:cs="Times New Roman"/>
          <w:color w:val="000000" w:themeColor="text1"/>
          <w:sz w:val="28"/>
          <w:szCs w:val="28"/>
          <w:shd w:val="clear" w:color="auto" w:fill="FFFFFF"/>
        </w:rPr>
        <w:t xml:space="preserve">Определение низкого уровня иммунных комплексов в условиях высокого уровня распространения туберкулезной инфекции является допустимым и может свидетельствовать о наличии слабых проявлений латентной туберкулезной инфекции, а также подтверждает высокую </w:t>
      </w:r>
      <w:r w:rsidRPr="00680C0A">
        <w:rPr>
          <w:rFonts w:ascii="Times New Roman" w:hAnsi="Times New Roman" w:cs="Times New Roman"/>
          <w:color w:val="000000" w:themeColor="text1"/>
          <w:sz w:val="28"/>
          <w:szCs w:val="28"/>
          <w:shd w:val="clear" w:color="auto" w:fill="FFFFFF"/>
        </w:rPr>
        <w:lastRenderedPageBreak/>
        <w:t>чувствительность метода. Однако не является понятным отсутствие высокого уровня ИК у лиц с латентной туберкулезной инфекцией. При этом полученные результаты позволяют выявлять группу высокого риска по развитию активного туберкулеза среди лиц с латентной туберкулезной инфекцией.</w:t>
      </w:r>
      <w:r w:rsidRPr="00680C0A">
        <w:rPr>
          <w:rFonts w:ascii="Times New Roman" w:hAnsi="Times New Roman" w:cs="Times New Roman"/>
          <w:color w:val="000000" w:themeColor="text1"/>
          <w:sz w:val="28"/>
          <w:szCs w:val="28"/>
        </w:rPr>
        <w:t xml:space="preserve"> </w:t>
      </w:r>
    </w:p>
    <w:p w:rsidR="00680C0A" w:rsidRPr="00680C0A" w:rsidRDefault="00680C0A" w:rsidP="00680C0A">
      <w:pPr>
        <w:spacing w:after="200" w:line="360" w:lineRule="auto"/>
        <w:ind w:firstLine="851"/>
        <w:jc w:val="both"/>
        <w:rPr>
          <w:rFonts w:ascii="Times New Roman" w:hAnsi="Times New Roman" w:cs="Times New Roman"/>
          <w:b/>
          <w:color w:val="000000" w:themeColor="text1"/>
          <w:sz w:val="28"/>
          <w:szCs w:val="28"/>
        </w:rPr>
      </w:pPr>
      <w:r w:rsidRPr="00680C0A">
        <w:rPr>
          <w:rFonts w:ascii="Times New Roman" w:hAnsi="Times New Roman" w:cs="Times New Roman"/>
          <w:b/>
          <w:color w:val="000000" w:themeColor="text1"/>
          <w:sz w:val="28"/>
          <w:szCs w:val="28"/>
        </w:rPr>
        <w:t>Обсуждение и заключение</w:t>
      </w:r>
    </w:p>
    <w:p w:rsidR="00287424" w:rsidRPr="00287424" w:rsidRDefault="00287424" w:rsidP="002874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ru-RU"/>
        </w:rPr>
      </w:pPr>
      <w:r w:rsidRPr="00287424">
        <w:rPr>
          <w:rFonts w:ascii="Times New Roman" w:eastAsia="Times New Roman" w:hAnsi="Times New Roman" w:cs="Times New Roman"/>
          <w:sz w:val="28"/>
          <w:szCs w:val="28"/>
          <w:lang w:eastAsia="ru-RU"/>
        </w:rPr>
        <w:t>Известно, что, несмотря на значительную долю инфицированных микобактерией туберкулёза (МБТ) людей, составляющую примерно одну треть населения земного шара, только в 5-10% случаев происходит развитие туберкулёза в той или иной клинической форме. У остальных инфекция носит латентный, бессимптомный характер. В результате взаимодействия звеньев врождённого и адаптивного иммунитета в большинстве случаев происходит либо полное освобождение от инфекции, либо подавление её активности и перевод в латентную форму. В отдельных случаях возможны нарушения в этой цепи взаимодействий, что приводит к развитию инфекции не только в лёгких, но и распространение МБТ с кровью в различные ткани организма. Уже доказано, что лица, которые имеют положительные иммунологические тесты, определяющие латентную туберкулезную инфекцию, являются группой высокого риска по развитию активной туберкулезной инфекции. Однако результаты проведенных до настоящего времени исследований не продемонстрировали достоверно значимых иммунологических различий между этими состояниями [13].</w:t>
      </w:r>
    </w:p>
    <w:p w:rsidR="00287424" w:rsidRPr="00287424" w:rsidRDefault="00287424" w:rsidP="002874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ru-RU"/>
        </w:rPr>
      </w:pPr>
      <w:r w:rsidRPr="00287424">
        <w:rPr>
          <w:rFonts w:ascii="Times New Roman" w:hAnsi="Times New Roman" w:cs="Times New Roman"/>
          <w:sz w:val="28"/>
          <w:szCs w:val="28"/>
        </w:rPr>
        <w:t xml:space="preserve">Определение специфических иммунных комплексов позволило наиболее точно из всех существующих сегодня иммунологических методов в 100% случаев определить активность туберкулезной инфекции у больных туберкулезом, а также выявить достоверную разницу между активной и латентной туберкулезной инфекцией. В исследовании удалось получить данные, которые позволяют выявить группу особого риска в развитии активного туберкулеза среди лиц с положительными иммунологическими тестами. Низкий уровень изотипов специфических иммуноглобулинов у лиц с </w:t>
      </w:r>
      <w:r w:rsidRPr="00287424">
        <w:rPr>
          <w:rFonts w:ascii="Times New Roman" w:hAnsi="Times New Roman" w:cs="Times New Roman"/>
          <w:sz w:val="28"/>
          <w:szCs w:val="28"/>
        </w:rPr>
        <w:lastRenderedPageBreak/>
        <w:t xml:space="preserve">ЛТИ позволяет говорить о благоприятном прогнозе в отношении развития активного туберкулеза, и, наоборот, нарастание в динамике уровня изотипов </w:t>
      </w:r>
      <w:r w:rsidRPr="00287424">
        <w:rPr>
          <w:rFonts w:ascii="Times New Roman" w:hAnsi="Times New Roman" w:cs="Times New Roman"/>
          <w:sz w:val="28"/>
          <w:szCs w:val="28"/>
          <w:lang w:val="en-CA"/>
        </w:rPr>
        <w:t>IgG</w:t>
      </w:r>
      <w:r w:rsidRPr="00287424">
        <w:rPr>
          <w:rFonts w:ascii="Times New Roman" w:hAnsi="Times New Roman" w:cs="Times New Roman"/>
          <w:sz w:val="28"/>
          <w:szCs w:val="28"/>
        </w:rPr>
        <w:t xml:space="preserve">3 и </w:t>
      </w:r>
      <w:r w:rsidRPr="00287424">
        <w:rPr>
          <w:rFonts w:ascii="Times New Roman" w:hAnsi="Times New Roman" w:cs="Times New Roman"/>
          <w:sz w:val="28"/>
          <w:szCs w:val="28"/>
          <w:lang w:val="en-CA"/>
        </w:rPr>
        <w:t>IgE</w:t>
      </w:r>
      <w:r w:rsidRPr="00287424">
        <w:rPr>
          <w:rFonts w:ascii="Times New Roman" w:hAnsi="Times New Roman" w:cs="Times New Roman"/>
          <w:sz w:val="28"/>
          <w:szCs w:val="28"/>
        </w:rPr>
        <w:t xml:space="preserve"> может свидетельствовать о неблагоприятной тенденции в отношении развития туберкулезной инфекции. В настоящее время такой прогноз невозможно осуществить с применением используемых в клинической практике иммунологических тестов.</w:t>
      </w:r>
    </w:p>
    <w:p w:rsidR="00680C0A" w:rsidRPr="00680C0A" w:rsidRDefault="00680C0A" w:rsidP="00680C0A">
      <w:pPr>
        <w:spacing w:after="200" w:line="276" w:lineRule="auto"/>
        <w:rPr>
          <w:rFonts w:ascii="Times New Roman" w:hAnsi="Times New Roman" w:cs="Times New Roman"/>
          <w:color w:val="000000" w:themeColor="text1"/>
          <w:sz w:val="28"/>
          <w:szCs w:val="28"/>
        </w:rPr>
      </w:pPr>
    </w:p>
    <w:p w:rsidR="00DE3933" w:rsidRPr="00680C0A" w:rsidRDefault="00DE3933">
      <w:pPr>
        <w:rPr>
          <w:rFonts w:ascii="Times New Roman" w:hAnsi="Times New Roman" w:cs="Times New Roman"/>
          <w:sz w:val="28"/>
          <w:szCs w:val="28"/>
        </w:rPr>
      </w:pPr>
    </w:p>
    <w:sectPr w:rsidR="00DE3933" w:rsidRPr="00680C0A" w:rsidSect="00292AE6">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836" w:rsidRDefault="00B95836">
      <w:pPr>
        <w:spacing w:after="0" w:line="240" w:lineRule="auto"/>
      </w:pPr>
      <w:r>
        <w:separator/>
      </w:r>
    </w:p>
  </w:endnote>
  <w:endnote w:type="continuationSeparator" w:id="0">
    <w:p w:rsidR="00B95836" w:rsidRDefault="00B9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417199"/>
      <w:docPartObj>
        <w:docPartGallery w:val="Page Numbers (Bottom of Page)"/>
        <w:docPartUnique/>
      </w:docPartObj>
    </w:sdtPr>
    <w:sdtEndPr/>
    <w:sdtContent>
      <w:p w:rsidR="00BC43E7" w:rsidRDefault="007416B3">
        <w:pPr>
          <w:pStyle w:val="a3"/>
          <w:jc w:val="right"/>
        </w:pPr>
        <w:r>
          <w:fldChar w:fldCharType="begin"/>
        </w:r>
        <w:r>
          <w:instrText>PAGE   \* MERGEFORMAT</w:instrText>
        </w:r>
        <w:r>
          <w:fldChar w:fldCharType="separate"/>
        </w:r>
        <w:r w:rsidR="00A00B0E">
          <w:rPr>
            <w:noProof/>
          </w:rPr>
          <w:t>2</w:t>
        </w:r>
        <w:r>
          <w:rPr>
            <w:noProof/>
          </w:rPr>
          <w:fldChar w:fldCharType="end"/>
        </w:r>
      </w:p>
    </w:sdtContent>
  </w:sdt>
  <w:p w:rsidR="00BC43E7" w:rsidRDefault="00B9583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836" w:rsidRDefault="00B95836">
      <w:pPr>
        <w:spacing w:after="0" w:line="240" w:lineRule="auto"/>
      </w:pPr>
      <w:r>
        <w:separator/>
      </w:r>
    </w:p>
  </w:footnote>
  <w:footnote w:type="continuationSeparator" w:id="0">
    <w:p w:rsidR="00B95836" w:rsidRDefault="00B95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B5"/>
    <w:rsid w:val="00287424"/>
    <w:rsid w:val="002D1A88"/>
    <w:rsid w:val="003876B5"/>
    <w:rsid w:val="004940CD"/>
    <w:rsid w:val="00582633"/>
    <w:rsid w:val="005C3653"/>
    <w:rsid w:val="00680C0A"/>
    <w:rsid w:val="007416B3"/>
    <w:rsid w:val="009371F1"/>
    <w:rsid w:val="00A00B0E"/>
    <w:rsid w:val="00A072FB"/>
    <w:rsid w:val="00A26BB9"/>
    <w:rsid w:val="00B95836"/>
    <w:rsid w:val="00CC68BA"/>
    <w:rsid w:val="00D33282"/>
    <w:rsid w:val="00DE3933"/>
    <w:rsid w:val="00EB101B"/>
    <w:rsid w:val="00EC6613"/>
    <w:rsid w:val="00EE0A9F"/>
    <w:rsid w:val="00FA5D92"/>
    <w:rsid w:val="00FD7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EC72"/>
  <w15:chartTrackingRefBased/>
  <w15:docId w15:val="{02C24CA6-B537-403A-93CA-13C34230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80C0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80C0A"/>
  </w:style>
  <w:style w:type="table" w:customStyle="1" w:styleId="1">
    <w:name w:val="Сетка таблицы1"/>
    <w:basedOn w:val="a1"/>
    <w:next w:val="a5"/>
    <w:uiPriority w:val="39"/>
    <w:rsid w:val="00680C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680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680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2924</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2018-09-19T17:26:00Z</dcterms:created>
  <dcterms:modified xsi:type="dcterms:W3CDTF">2018-09-19T17:26:00Z</dcterms:modified>
</cp:coreProperties>
</file>