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851"/>
        <w:gridCol w:w="2409"/>
      </w:tblGrid>
      <w:tr w:rsidR="0041327C" w:rsidRPr="0041327C" w:rsidTr="0041327C">
        <w:tc>
          <w:tcPr>
            <w:tcW w:w="675" w:type="dxa"/>
          </w:tcPr>
          <w:p w:rsidR="0041327C" w:rsidRPr="0041327C" w:rsidRDefault="0041327C" w:rsidP="00AD4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ссылки</w:t>
            </w:r>
          </w:p>
        </w:tc>
        <w:tc>
          <w:tcPr>
            <w:tcW w:w="5245" w:type="dxa"/>
          </w:tcPr>
          <w:p w:rsidR="0041327C" w:rsidRPr="0041327C" w:rsidRDefault="0041327C" w:rsidP="00AD4E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851" w:type="dxa"/>
          </w:tcPr>
          <w:p w:rsidR="0041327C" w:rsidRPr="0041327C" w:rsidRDefault="0041327C" w:rsidP="00AD4EAD">
            <w:pPr>
              <w:pStyle w:val="a4"/>
              <w:spacing w:before="240" w:beforeAutospacing="0" w:after="240" w:afterAutospacing="0"/>
              <w:rPr>
                <w:rFonts w:eastAsiaTheme="minorHAnsi"/>
                <w:b/>
                <w:bCs/>
                <w:lang w:eastAsia="en-US"/>
              </w:rPr>
            </w:pPr>
            <w:r w:rsidRPr="0041327C">
              <w:rPr>
                <w:rFonts w:eastAsiaTheme="minorHAnsi"/>
                <w:b/>
                <w:lang w:eastAsia="en-US"/>
              </w:rPr>
              <w:t>ФИО, название публикации и источника на английском</w:t>
            </w:r>
          </w:p>
        </w:tc>
        <w:tc>
          <w:tcPr>
            <w:tcW w:w="2409" w:type="dxa"/>
          </w:tcPr>
          <w:p w:rsidR="0041327C" w:rsidRPr="0041327C" w:rsidRDefault="0041327C" w:rsidP="00450C6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Полный интернет-адрес (</w:t>
            </w:r>
            <w:r w:rsidRPr="004132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URL</w:t>
            </w:r>
            <w:r w:rsidRPr="004132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цитируемой статьи или ее </w:t>
            </w:r>
            <w:proofErr w:type="spellStart"/>
            <w:r w:rsidRPr="004132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doi</w:t>
            </w:r>
            <w:proofErr w:type="spellEnd"/>
            <w:r w:rsidRPr="004132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41327C" w:rsidRPr="0041327C" w:rsidRDefault="0041327C" w:rsidP="00C34D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Alshevskaya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AA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Lopatnikova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Krugleeva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Nepomnyschih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VM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Lukinov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VL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Karaulov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AV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Sennikov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SV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Expression density of receptors to IL-1β in atopic dermatitis.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Mol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Immunol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2016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;75:92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-100.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450C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10.1016/j.molimm.2016.05.015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45" w:type="dxa"/>
            <w:vAlign w:val="center"/>
          </w:tcPr>
          <w:p w:rsidR="0041327C" w:rsidRPr="0041327C" w:rsidRDefault="004132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Alshevskaya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AA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Lopatnikova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Shkaruba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NS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Chumasova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OA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Sizikov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AE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Karaulov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AV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Kozlov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Sennikov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SV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Differences of IL-1β Receptors Expression by Immunocompetent Cells Subsets in Rheumatoid Arthritis. Mediators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Inflamm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2015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;2015:948393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sz w:val="24"/>
                <w:szCs w:val="24"/>
              </w:rPr>
            </w:pPr>
            <w:r w:rsidRPr="0041327C"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450C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10.1155/2015/948393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41327C" w:rsidRPr="0041327C" w:rsidRDefault="0041327C" w:rsidP="002656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Barker FG 2nd, Simmons ML, Chang SM,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Prados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MD, Larson DA, Sneed PK,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Wara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WM, Berger MS, Chen P, Israel MA,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Aldape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KD. EGFR overexpression and radiation response in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glioblastoma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multiforme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Radiat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Oncol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Biol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Phys. 2001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;51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(2):410-8.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sz w:val="24"/>
                <w:szCs w:val="24"/>
              </w:rPr>
            </w:pPr>
            <w:r w:rsidRPr="0041327C"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450C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5" w:history="1">
              <w:r w:rsidRPr="0041327C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10.1016/S0360-3016(01)01609-1</w:t>
              </w:r>
            </w:hyperlink>
          </w:p>
          <w:p w:rsidR="0041327C" w:rsidRPr="0041327C" w:rsidRDefault="0041327C" w:rsidP="00450C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5245" w:type="dxa"/>
            <w:vAlign w:val="center"/>
          </w:tcPr>
          <w:p w:rsidR="0041327C" w:rsidRPr="0041327C" w:rsidRDefault="004132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Begnami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MD, Fukuda E,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Fregnani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JH,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Nonogaki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Montagnini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AL, da Costa WL Jr, et L. Prognostic implications of altered human epidermal growth factor receptors (HERs) in gastric carcinomas: HER2 and HER3 are predictors of poor outcome. J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Clin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Oncol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2011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;29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(22):3030-6.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450C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10.1200/JCO.2010.33.6313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5245" w:type="dxa"/>
            <w:vAlign w:val="center"/>
          </w:tcPr>
          <w:p w:rsidR="0041327C" w:rsidRPr="0041327C" w:rsidRDefault="004132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Booy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S, van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Eijck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CH,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Dogan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F, van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Koetsveld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PM,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Hofland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LJ. Influence of type-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  Interferon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receptor expression level on the response to type-I Interferons in human pancreatic cancer cells. J Cell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Mol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Med. 2014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;18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(3):492-502.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450C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10.1111/jcmm.12200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5245" w:type="dxa"/>
            <w:vAlign w:val="center"/>
          </w:tcPr>
          <w:p w:rsidR="0041327C" w:rsidRPr="0041327C" w:rsidRDefault="004132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Catanzaro R,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Celep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Zerbinati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Papacharalambous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Nagpal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R,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Marotta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F,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Rastmanesh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R,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Milazzo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M, Lorenzetti A,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Bertuccelli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Sollano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J. In vitro protective effect of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Celergen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a bioactive marine compound, on interleukin-6-related invasiveness of pancreatic cancer.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Acta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Biomed. 2014 May 9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;85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(1):44-51. PubMed PMID: 24897969.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450C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www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ncbi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nlm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nih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gov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pubmed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/24897969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5245" w:type="dxa"/>
            <w:vAlign w:val="center"/>
          </w:tcPr>
          <w:p w:rsidR="0041327C" w:rsidRPr="0041327C" w:rsidRDefault="0041327C" w:rsidP="002656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Chakraborty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Benham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V, Bullard B, Kearney T,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Hsia HC, Gibbon D,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Demireva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EY, Lunt SY, Bernard JJ. Fibroblast growth factor receptor is a mechanistic link between visceral adiposity and cancer. Oncogene. 2017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;36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(48):6668-6679.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sz w:val="24"/>
                <w:szCs w:val="24"/>
              </w:rPr>
            </w:pPr>
            <w:r w:rsidRPr="0041327C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409" w:type="dxa"/>
          </w:tcPr>
          <w:p w:rsidR="0041327C" w:rsidRPr="0041327C" w:rsidRDefault="0041327C" w:rsidP="00450C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10.1038/onc.2017.278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5245" w:type="dxa"/>
            <w:vAlign w:val="center"/>
          </w:tcPr>
          <w:p w:rsidR="0041327C" w:rsidRPr="0041327C" w:rsidRDefault="0041327C" w:rsidP="00564B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Chang SY, Su PF, Lee TC. Ectopic expression of interleukin-1 receptor type II enhances cell migration through activation of the pre-interleukin 1alpha pathway. Cytokine. 2009 Jan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;45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(1):32-8.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450C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10.1016/j.cyto.2008.10.013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5245" w:type="dxa"/>
            <w:vAlign w:val="center"/>
          </w:tcPr>
          <w:p w:rsidR="0041327C" w:rsidRPr="0041327C" w:rsidRDefault="0041327C" w:rsidP="002656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Colamonici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OR, Porterfield B,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Domanski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Handa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RK, Flex S, Samuel CE, Pine R, Diaz MO. Ligand-independent anti-oncogenic activity of the alpha subunit of the type I interferon receptor. J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Biol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Chem. 1994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;269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(44):27275-933.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sz w:val="24"/>
                <w:szCs w:val="24"/>
              </w:rPr>
            </w:pPr>
            <w:r w:rsidRPr="0041327C"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450C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www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jbc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org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content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/269/44/27275.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long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5245" w:type="dxa"/>
            <w:vAlign w:val="center"/>
          </w:tcPr>
          <w:p w:rsidR="0041327C" w:rsidRPr="0041327C" w:rsidRDefault="004132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Conti L,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Cardone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Varano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B,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Puddu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Belardelli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F,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Gessani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S. Role of the cytokine environment and cytokine receptor expression on the generation of functionally distinct dendritic cells from human monocytes.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Eur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Immunol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2008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;38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(3):750-62.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sz w:val="24"/>
                <w:szCs w:val="24"/>
              </w:rPr>
            </w:pPr>
            <w:r w:rsidRPr="0041327C"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450C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10.1002/eji.200737395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5245" w:type="dxa"/>
            <w:vAlign w:val="center"/>
          </w:tcPr>
          <w:p w:rsidR="0041327C" w:rsidRPr="0041327C" w:rsidRDefault="004132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Cui HD, Qi ZM, Yang LL, Qi L, Zhang N, Zhang XL, Du SY, Jiang Y. Interleukin-10 receptor expression and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signalling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were down-regulated in CD4</w:t>
            </w:r>
            <w:r w:rsidRPr="0041327C">
              <w:rPr>
                <w:rFonts w:ascii="Cambria Math" w:hAnsi="Cambria Math" w:cs="Cambria Math"/>
                <w:color w:val="000000"/>
                <w:sz w:val="24"/>
                <w:szCs w:val="24"/>
                <w:lang w:val="en-US"/>
              </w:rPr>
              <w:t>⁺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 cells of lupus nephritis patients.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Clin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Exp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Immunol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2011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;165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(2):163-71.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450C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10.1111/j.1365-2249.2011.04424.x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5245" w:type="dxa"/>
            <w:vAlign w:val="center"/>
          </w:tcPr>
          <w:p w:rsidR="0041327C" w:rsidRPr="0041327C" w:rsidRDefault="0041327C" w:rsidP="005F1C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Fotin-Mleczek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Henkler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F,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Samel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Reichwein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Hausser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Parmryd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Scheurich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Schmid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JA,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Wajant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H. Apoptotic crosstalk of TNF receptors: TNF-R2-induces depletion of TRAF2 and IAP proteins and accelerates TNF-R1-dependent activation of caspase-8. J Cell Sci. 2002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;115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(Pt 13):2757-70.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sz w:val="24"/>
                <w:szCs w:val="24"/>
              </w:rPr>
            </w:pPr>
            <w:r w:rsidRPr="0041327C"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450C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jcs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biologists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org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content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joces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/115/13/2757.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full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pdf</w:t>
            </w:r>
            <w:proofErr w:type="spellEnd"/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5245" w:type="dxa"/>
            <w:vAlign w:val="center"/>
          </w:tcPr>
          <w:p w:rsidR="0041327C" w:rsidRPr="0041327C" w:rsidRDefault="004132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Furue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M, Yamamura K, Kido-Nakahara M, Nakahara T, Fukui Y. Emerging role of interleukin-31 and interleukin-31 receptor in pruritus in atopic dermatitis. Allergy. 2018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;73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(1):29-36.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450C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10.1111/all.13239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5245" w:type="dxa"/>
            <w:vAlign w:val="center"/>
          </w:tcPr>
          <w:p w:rsidR="0041327C" w:rsidRPr="0041327C" w:rsidRDefault="004132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Grzela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K,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Grzela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Korczak-Kowalska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Bocian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K,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Sonczyk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W,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Jedrasiak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U,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NiderlaBielińska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Lazarczyk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Zagórska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W,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Zawadzka-Krajewska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Feleszko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W,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Kulus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M. Risk of allergy development correlates with IL-4 receptor expression on newborns' monocytes and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lymphocytes. Med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Monit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2007 Oct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;13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(10):CR445-8.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sz w:val="24"/>
                <w:szCs w:val="24"/>
              </w:rPr>
            </w:pPr>
            <w:r w:rsidRPr="0041327C"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450C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www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medscimonit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download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index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idArt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/502386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5245" w:type="dxa"/>
            <w:vAlign w:val="center"/>
          </w:tcPr>
          <w:p w:rsidR="0041327C" w:rsidRPr="0041327C" w:rsidRDefault="0041327C" w:rsidP="00231C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Hartmann S,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Seher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A, Brands RC, Linz C,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Lessner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Böhm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Kübler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AC, Müller-Richter UD. Influence of epidermal growth factor receptor expression on the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cetuximab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panitumumab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response rates of head and neck carcinoma cells. J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Craniomaxillofac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Surg. 2014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;42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(7):1322-8.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sz w:val="24"/>
                <w:szCs w:val="24"/>
              </w:rPr>
            </w:pPr>
            <w:r w:rsidRPr="0041327C"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450C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10.1016/j.jcms.2014.03.018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5245" w:type="dxa"/>
            <w:vAlign w:val="center"/>
          </w:tcPr>
          <w:p w:rsidR="0041327C" w:rsidRPr="0041327C" w:rsidRDefault="004132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He XX, Ding L, Lin Y, Shu M, Wen JM,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Xue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L. Protein expression of HER2, 3, 4 in gastric cancer: correlation with clinical features and survival. J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Clin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Pathol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2015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;68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(5):374-80.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450C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10.1136/jclinpath-2014-202657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5245" w:type="dxa"/>
            <w:vAlign w:val="center"/>
          </w:tcPr>
          <w:p w:rsidR="0041327C" w:rsidRPr="0041327C" w:rsidRDefault="004132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Hervey-Jumper SL,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Garton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HJ, Lau D,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Altshuler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D, Quint DJ, Robertson PL,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Muraszko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KM, Maher CO. Differences in vascular endothelial growth factor receptor expression and correlation with the degree of enhancement in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medulloblastoma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J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Neurosurg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Pediatr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2014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;14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(2):121-8.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450C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10.3171/2014.4.PEDS13244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5245" w:type="dxa"/>
            <w:vAlign w:val="center"/>
          </w:tcPr>
          <w:p w:rsidR="0041327C" w:rsidRPr="0041327C" w:rsidRDefault="0041327C" w:rsidP="00034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Ito C,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Okuyama-Dobashi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K,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Miyasaka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T, Masuda C, Sato M, Kawano T,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Ohkawara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Y, Kikuchi T,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Takayanagi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Ohno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I. CD8+ T Cells Mediate Female-Dominant IL-4 Production and Airway Inflammation in Allergic Asthma.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PLoS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One. 2015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;10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(10):e0140808.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450C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10.1371/journal.pone.0140808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5245" w:type="dxa"/>
            <w:vAlign w:val="center"/>
          </w:tcPr>
          <w:p w:rsidR="0041327C" w:rsidRPr="0041327C" w:rsidRDefault="004132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Jácome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AA,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Wohnrath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DR,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Scapulatempo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Neto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Carneseca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EC, Serrano SV,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Viana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LS,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Nunes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JS, Martinez EZ, Santos JS. Prognostic value of epidermal growth factor receptors in gastric cancer: a survival analysis by Weibull model incorporating long-term survivors. Gastric Cancer. 2014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;17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(1):76-86.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sz w:val="24"/>
                <w:szCs w:val="24"/>
              </w:rPr>
            </w:pPr>
            <w:r w:rsidRPr="0041327C"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450C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10.1007/s10120-013-0236-z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5245" w:type="dxa"/>
            <w:vAlign w:val="center"/>
          </w:tcPr>
          <w:p w:rsidR="0041327C" w:rsidRPr="0041327C" w:rsidRDefault="0041327C" w:rsidP="00034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Katlinski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KV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Gui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Katlinskaya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YV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Ortiz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Chakraborty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Bhattacharya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Carbone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CJ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Beiting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DP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Girondo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Peck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AR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Pur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é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Chatterji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Rustgi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AK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Diehl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Koumenis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Fuchs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SY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Inactivation of Interferon Receptor Promotes the Establishment of Immune Privileged Tumor Microenvironment. Cancer Cell. 2017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;31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(2):194-207.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450C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10.1016/j.ccell.2017.01.004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5245" w:type="dxa"/>
            <w:vAlign w:val="center"/>
          </w:tcPr>
          <w:p w:rsidR="0041327C" w:rsidRPr="0041327C" w:rsidRDefault="0041327C" w:rsidP="00034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Kummola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Ortutay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Z, Chen X,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Caucheteux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Hämäläinen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Aittomäki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Yagi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R, Zhu J,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Pesu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M, Paul WE,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Junttila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IS. IL-7Rα Expression Regulates Murine Dendritic Cell Sensitivity to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Thymic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Stromal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Lymphopoietin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J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Immunol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2017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;198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(10):3909-3918.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sz w:val="24"/>
                <w:szCs w:val="24"/>
              </w:rPr>
            </w:pPr>
            <w:r w:rsidRPr="0041327C"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450C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10.4049/jimmunol.1600753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5245" w:type="dxa"/>
            <w:vAlign w:val="center"/>
          </w:tcPr>
          <w:p w:rsidR="0041327C" w:rsidRPr="0041327C" w:rsidRDefault="004132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Lindegaard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B,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Hvid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Wolsk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Mygind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Hartvig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-Mortensen O,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Grøndal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Abildgaard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Gerstoft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J, Pedersen BK,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Baranowski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M. Low expression of IL-18 and IL-18 receptor in human skeletal muscle is associated with systemic and intramuscular lipid metabolism-Role of HIV lipodystrophy.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PLoS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One. 2018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;13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(1):e0186755.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sz w:val="24"/>
                <w:szCs w:val="24"/>
              </w:rPr>
            </w:pPr>
            <w:r w:rsidRPr="0041327C"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450C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10.1371/journal.pone.0186755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5245" w:type="dxa"/>
            <w:vAlign w:val="center"/>
          </w:tcPr>
          <w:p w:rsidR="0041327C" w:rsidRPr="0041327C" w:rsidRDefault="004132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Luan T, Yu Y. Increased hepatocyte growth factor and c-Met receptor expression in nasopharyngeal carcinoma.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Clin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Exp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Med. 2014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;7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(12):5583-7.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sz w:val="24"/>
                <w:szCs w:val="24"/>
              </w:rPr>
            </w:pPr>
            <w:r w:rsidRPr="0041327C"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450C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www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ncbi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nlm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nih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gov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pmc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articles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PMC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4307523/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5245" w:type="dxa"/>
            <w:vAlign w:val="center"/>
          </w:tcPr>
          <w:p w:rsidR="0041327C" w:rsidRPr="0041327C" w:rsidRDefault="004132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Lukeš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Pospíšil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Fliegel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K,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Lasser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T, Hagen GM. Quantitative super-resolution single molecule microscopy dataset of YFP-tagged growth factor receptors.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Gigascience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2018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;7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(3):1-10.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450C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6" w:tgtFrame="_blank" w:history="1">
              <w:r w:rsidRPr="0041327C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10.1093/</w:t>
              </w:r>
              <w:proofErr w:type="spellStart"/>
              <w:r w:rsidRPr="0041327C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gigascience</w:t>
              </w:r>
              <w:proofErr w:type="spellEnd"/>
              <w:r w:rsidRPr="0041327C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/giy002</w:t>
              </w:r>
            </w:hyperlink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5245" w:type="dxa"/>
            <w:vAlign w:val="center"/>
          </w:tcPr>
          <w:p w:rsidR="0041327C" w:rsidRPr="0041327C" w:rsidRDefault="004132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Lund-Johansen M,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Bjerkvig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R, Humphrey PA,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Bigner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SH,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Bigner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DD,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Laerum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OD. Effect of epidermal growth factor on glioma cell growth, migration, and invasion in vitro. Cancer Res. 1990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;50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(18):6039-44.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sz w:val="24"/>
                <w:szCs w:val="24"/>
              </w:rPr>
            </w:pPr>
            <w:r w:rsidRPr="0041327C"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450C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cancerres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aacrjournals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org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content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/50/18/6039.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full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text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pdf</w:t>
            </w:r>
            <w:proofErr w:type="spellEnd"/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5245" w:type="dxa"/>
            <w:vAlign w:val="center"/>
          </w:tcPr>
          <w:p w:rsidR="0041327C" w:rsidRPr="0041327C" w:rsidRDefault="004132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Lutz MB,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Schnare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Menges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Rössner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Röllinghoff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M, Schuler G, Gessner A. Differential functions of IL-4 receptor types I and II for dendritic cell maturation and IL12 production and their dependency on GM-CSF. J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Immunol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2002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;169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(7):3574-80.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450C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10.4049/jimmunol.169.7.3574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5245" w:type="dxa"/>
            <w:vAlign w:val="center"/>
          </w:tcPr>
          <w:p w:rsidR="0041327C" w:rsidRPr="0041327C" w:rsidRDefault="0041327C" w:rsidP="00A765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Mar AC, Chu CH, Lee HJ,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Chien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CW, Cheng JJ, Yang SH, Jiang JK, Lee TC. Interleukin-1 Receptor Type 2 Acts with c-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Fos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to Enhance the Expression of Interleukin6 and Vascular Endothelial Growth Factor 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in Colon Cancer Cells and Induce Angiogenesis. J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Biol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Chem. 2015 Sep 4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;290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(36):22212-24.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sz w:val="24"/>
                <w:szCs w:val="24"/>
              </w:rPr>
            </w:pPr>
            <w:r w:rsidRPr="0041327C"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450C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10.1074/jbc.M115.644823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5245" w:type="dxa"/>
            <w:vAlign w:val="center"/>
          </w:tcPr>
          <w:p w:rsidR="0041327C" w:rsidRPr="0041327C" w:rsidRDefault="004132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Maurizi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Almadori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Ferrandina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Distefano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Romanini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ME,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Cadoni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G, Benedetti-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Panici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Paludetti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Scambia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G, Mancuso S. Prognostic significance of epidermal growth factor receptor in laryngeal squamous cell carcinoma. Br J Cancer. 1996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;74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(8):1253-7.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sz w:val="24"/>
                <w:szCs w:val="24"/>
              </w:rPr>
            </w:pPr>
            <w:r w:rsidRPr="0041327C"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450C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www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ncbi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nlm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nih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gov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pmc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articles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PMC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2075924/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5245" w:type="dxa"/>
            <w:vAlign w:val="center"/>
          </w:tcPr>
          <w:p w:rsidR="0041327C" w:rsidRPr="0041327C" w:rsidRDefault="004132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Maurizi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Scambia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G, Benedetti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Panici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Ferrandina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Almadori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Paludetti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G, De Vincenzo R,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Distefano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Brinchi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Cadoni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G, Mancuso S. EGF receptor expression in primary laryngeal cancer: correlation with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clinicopathological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features and prognostic significance.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 Cancer. 1992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;52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(6):862-6.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450C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10.1002/ijc.2910520605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5245" w:type="dxa"/>
            <w:vAlign w:val="center"/>
          </w:tcPr>
          <w:p w:rsidR="0041327C" w:rsidRPr="0041327C" w:rsidRDefault="004132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Mehta A,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Chowdhary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Sinha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R.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Immunoscoring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of epidermal growth factor receptor expression in recurrent cases of oral squamous cell carcinoma. J Oral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Pathol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Med. 2015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;44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(10):818-22.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sz w:val="24"/>
                <w:szCs w:val="24"/>
              </w:rPr>
            </w:pPr>
            <w:r w:rsidRPr="0041327C"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450C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10.1111/jop.12303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5245" w:type="dxa"/>
            <w:vAlign w:val="center"/>
          </w:tcPr>
          <w:p w:rsidR="0041327C" w:rsidRPr="0041327C" w:rsidRDefault="004132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Mohan BC,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Angadi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PV. Quantitative and qualitative analysis of epidermal growth factor receptor expression in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pericoronal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follicles in predicting proliferative potential.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Acta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Odontol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Scand. 2014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;72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(8):770-5.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450C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10.3109/00016357.2014.906649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5245" w:type="dxa"/>
            <w:vAlign w:val="center"/>
          </w:tcPr>
          <w:p w:rsidR="0041327C" w:rsidRPr="0041327C" w:rsidRDefault="004132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Moraga I,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Harari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D, Schreiber G,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Uzé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Pellegrini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S. Receptor density is key to the alpha2/beta interferon differential activities.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Mol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Cell Biol. 2009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;29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(17):4778-87.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sz w:val="24"/>
                <w:szCs w:val="24"/>
              </w:rPr>
            </w:pPr>
            <w:r w:rsidRPr="0041327C"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450C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10.1128/MCB.01808-08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5245" w:type="dxa"/>
            <w:vAlign w:val="center"/>
          </w:tcPr>
          <w:p w:rsidR="0041327C" w:rsidRPr="0041327C" w:rsidRDefault="004132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Neal DE, Marsh C, Bennett MK, Abel PD, Hall RR, Sainsbury JR, Harris AL. Epidermal growth-factor receptors in human bladder cancer: comparison of invasive and superficial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tumours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Lancet. 1985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;1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(8425):366-8.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sz w:val="24"/>
                <w:szCs w:val="24"/>
              </w:rPr>
            </w:pPr>
            <w:r w:rsidRPr="0041327C"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450C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10.1016/S0140-6736(85)91386-8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5245" w:type="dxa"/>
            <w:vAlign w:val="center"/>
          </w:tcPr>
          <w:p w:rsidR="0041327C" w:rsidRPr="0041327C" w:rsidRDefault="004132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Nijkamp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MM, Span PN,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Terhaard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CH,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Doornaert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PA,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Langendijk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JA, van den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Ende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PL, de Jong M, van der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Kogel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AJ,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Bussink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Kaanders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JH. Epidermal growth factor receptor expression in laryngeal cancer predicts the effect of hypoxia modification as an additive to accelerated radiotherapy in a randomized controlled trial.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Eur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 Cancer. 2013t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;49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(15):3202-9.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sz w:val="24"/>
                <w:szCs w:val="24"/>
              </w:rPr>
            </w:pPr>
            <w:r w:rsidRPr="0041327C"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450C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10.1016/j.ejca.2013.06.024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5245" w:type="dxa"/>
            <w:vAlign w:val="center"/>
          </w:tcPr>
          <w:p w:rsidR="0041327C" w:rsidRPr="0041327C" w:rsidRDefault="004132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Ozawa S, Ueda M, Ando N, Shimizu N, Abe O. Prognostic significance of epidermal growth factor receptor in esophageal squamous cell carcinomas. Cancer. 1989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;63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(11):2169-73.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450C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10.1002/1097-0142(19890601)63:11&lt;2169::AID-CNCR2820631117&gt;3.0.CO;2-W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5245" w:type="dxa"/>
            <w:vAlign w:val="center"/>
          </w:tcPr>
          <w:p w:rsidR="0041327C" w:rsidRPr="0041327C" w:rsidRDefault="004132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Pillai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MR,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Jayaprakash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PG, Nair MK.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Tumour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-proliferative fraction and growth factor expression as markers of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tumour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response to radiotherapy in cancer of the uterine cervix. J Cancer Res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Clin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Oncol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1998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;124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(8):456-61.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sz w:val="24"/>
                <w:szCs w:val="24"/>
              </w:rPr>
            </w:pPr>
            <w:r w:rsidRPr="0041327C"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450C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10.1007/s004320050199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5245" w:type="dxa"/>
            <w:vAlign w:val="center"/>
          </w:tcPr>
          <w:p w:rsidR="0041327C" w:rsidRPr="0041327C" w:rsidRDefault="0041327C" w:rsidP="001B02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Popova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AP, Bentley JK, Cui TX, Richardson MN, Linn MJ, Lei J, Chen Q, Goldsmith AM,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Pryhuber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GS,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Hershenson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MB</w:t>
            </w:r>
          </w:p>
          <w:p w:rsidR="0041327C" w:rsidRPr="0041327C" w:rsidRDefault="0041327C" w:rsidP="001B02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Reduced platelet-derived growth factor receptor expression is a primary feature of human bronchopulmonary dysplasia. Am J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Physiol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Lung Cell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Mol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Physiol. 2014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;307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(3):L231-9.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sz w:val="24"/>
                <w:szCs w:val="24"/>
              </w:rPr>
            </w:pPr>
            <w:r w:rsidRPr="0041327C"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450C6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10.1152/ajplung.00342.2013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5245" w:type="dxa"/>
            <w:vAlign w:val="center"/>
          </w:tcPr>
          <w:p w:rsidR="0041327C" w:rsidRPr="0041327C" w:rsidRDefault="004132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Rauschmayr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T, Groves RW,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Kupper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TS. Keratinocyte expression of the type 2 interleukin 1 receptor mediates local and specific inhibition of interleukin 1-mediated inflammation.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Proc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Natl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Acad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U S A. 1997; 94(11): 5814-9.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265B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10.1073/pnas.94.11.5814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5245" w:type="dxa"/>
            <w:vAlign w:val="center"/>
          </w:tcPr>
          <w:p w:rsidR="0041327C" w:rsidRPr="0041327C" w:rsidRDefault="0041327C" w:rsidP="001B025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Rubin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Grandis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Melhem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MF, Gooding WE, Day R, Holst VA, Wagener MM,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Drenning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SD,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Tweardy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DJ. Levels of TGF-alpha and EGFR protein in head and neck squamous cell carcinoma and patient survival. J Natl Cancer Inst. 1998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;90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(11):824-32.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sz w:val="24"/>
                <w:szCs w:val="24"/>
              </w:rPr>
            </w:pPr>
            <w:r w:rsidRPr="0041327C"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2714FD">
            <w:pPr>
              <w:jc w:val="both"/>
              <w:rPr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thymic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org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uploads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biol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sub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genet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pdf</w:t>
            </w:r>
            <w:proofErr w:type="spellEnd"/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5245" w:type="dxa"/>
            <w:vAlign w:val="center"/>
          </w:tcPr>
          <w:p w:rsidR="0041327C" w:rsidRPr="0041327C" w:rsidRDefault="004132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Sainsbury JR,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Farndon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JR, Needham GK, Malcolm AJ, Harris AL. Epidermal-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growthfactor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receptor status as predictor of early recurrence of and death from breast cancer. Lancet. 1987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;1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(8547):1398-402.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265B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10.1016/S0140-6736(87)90593-9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5245" w:type="dxa"/>
            <w:vAlign w:val="center"/>
          </w:tcPr>
          <w:p w:rsidR="0041327C" w:rsidRPr="0041327C" w:rsidRDefault="004132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Scambia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G, Benedetti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Panici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Ferrandina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Battaglia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F,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Distefano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D'Andrea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G, De Vincenzo R,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Maneschi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F,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Ranelletti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FO, Mancuso S. Significance of epidermal growth factor receptor expression in primary human endometrial cancer.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 Cancer. 1994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;56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(1):26-30.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265B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10.1002/ijc.2910560106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5245" w:type="dxa"/>
            <w:vAlign w:val="center"/>
          </w:tcPr>
          <w:p w:rsidR="0041327C" w:rsidRPr="0041327C" w:rsidRDefault="004132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Schreiber G. The molecular basis for differential type I interferon signaling. J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Biol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Chem. 2017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;292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(18):7285-7294.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265B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10.1074/jbc.R116.774562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5245" w:type="dxa"/>
            <w:vAlign w:val="center"/>
          </w:tcPr>
          <w:p w:rsidR="0041327C" w:rsidRPr="0041327C" w:rsidRDefault="0041327C" w:rsidP="00451A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Shigeta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K,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Hayashida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T, Hoshino Y,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Okabayashi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K, Endo T, Ishii Y, Hasegawa H, Kitagawa Y. Expression of Epidermal Growth Factor Receptor Detected by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Cetuximab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Indicates Its Efficacy to Inhibit In Vitro and In Vivo Proliferation of Colorectal Cancer Cells.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PLoS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One. 2013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;8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(6):e66302.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265B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10.1371/journal.pone.0066302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5245" w:type="dxa"/>
            <w:vAlign w:val="center"/>
          </w:tcPr>
          <w:p w:rsidR="0041327C" w:rsidRPr="0041327C" w:rsidRDefault="0041327C" w:rsidP="00451A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Shinojima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N, Tada K,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Shiraishi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Kamiryo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T, Kochi M, Nakamura H, Makino K,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Saya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H, Hirano H,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Kuratsu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J, Oka K,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Ishimaru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Y, Ushio Y.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Prognostic value of epidermal growth factor receptor in patients with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glioblastoma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multiforme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Cancer Res. 2003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;63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(20):6962-70.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sz w:val="24"/>
                <w:szCs w:val="24"/>
              </w:rPr>
            </w:pPr>
            <w:r w:rsidRPr="0041327C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409" w:type="dxa"/>
          </w:tcPr>
          <w:p w:rsidR="0041327C" w:rsidRPr="0041327C" w:rsidRDefault="0041327C" w:rsidP="00265B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http://cancerres.aacrjournals.org/content/63/20/6962.full-text.pdf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5245" w:type="dxa"/>
            <w:vAlign w:val="center"/>
          </w:tcPr>
          <w:p w:rsidR="0041327C" w:rsidRPr="0041327C" w:rsidRDefault="004132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Tekabe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Kollaros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Zerihoun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A, Zhang G, Backer MV, Backer JM, Johnson LL. Imaging VEGF receptor expression to identify accelerated atherosclerosis. EJNMMI Res. 2014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;4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(1):41.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sz w:val="24"/>
                <w:szCs w:val="24"/>
              </w:rPr>
            </w:pPr>
            <w:r w:rsidRPr="0041327C"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265B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10.1186/s13550-014-0041-7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5245" w:type="dxa"/>
            <w:vAlign w:val="center"/>
          </w:tcPr>
          <w:p w:rsidR="0041327C" w:rsidRPr="0041327C" w:rsidRDefault="0041327C" w:rsidP="000347D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Tini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P, Belmonte G,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Toscano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Miracco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C, Palumbo S,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Pastina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Battaglia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Nardone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V,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Butorano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MA,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Masucci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Cerase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Pirtoli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L. Combined epidermal growth factor receptor and Beclin1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autophagic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protein expression analysis identifies different clinical presentations, responses to chemo- and radiotherapy, and prognosis in glioblastoma. Biomed Res Int. 2015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;2015:208076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265B6D">
            <w:pPr>
              <w:rPr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10.1155/2015/208076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5245" w:type="dxa"/>
            <w:vAlign w:val="center"/>
          </w:tcPr>
          <w:p w:rsidR="0041327C" w:rsidRPr="0041327C" w:rsidRDefault="004132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Torabizadeh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Z,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Nosrati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Tahvildari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S. Human Epidermal Growth Factor Receptor Expression in Colorectal Cancer and Its Relationship with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Clinicopathological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Characteristics. Middle East J Dig Dis. 2016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;8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(1):24-30.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sz w:val="24"/>
                <w:szCs w:val="24"/>
              </w:rPr>
            </w:pPr>
            <w:r w:rsidRPr="0041327C"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265B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10.15171/mejdd.2016.03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5245" w:type="dxa"/>
            <w:vAlign w:val="center"/>
          </w:tcPr>
          <w:p w:rsidR="0041327C" w:rsidRPr="0041327C" w:rsidRDefault="004132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van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Caam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Madej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W,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Thijssen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E, Garcia de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Vinuesa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A, van den Berg W,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Goumans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MJ, Ten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Dijke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Blaney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Davidson E, van der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Kraan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PM. Expression of TGFβ-family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signalling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components in ageing cartilage: age-related loss of TGFβ and BMP receptors. Osteoarthritis Cartilage. 2016. </w:t>
            </w:r>
            <w:proofErr w:type="spellStart"/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pii</w:t>
            </w:r>
            <w:proofErr w:type="spellEnd"/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S1063- 4584(16)01041-4.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265B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10.1016/j.joca.2016.02.008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5245" w:type="dxa"/>
            <w:vAlign w:val="center"/>
          </w:tcPr>
          <w:p w:rsidR="0041327C" w:rsidRPr="0041327C" w:rsidRDefault="0041327C" w:rsidP="00231C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Wang J, Taylor A,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Showeil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R,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Trivedi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Horimoto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Bagwan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Ewington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L, Lam EW, El-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Bahrawy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MA. Expression profiling and significance of VEGF-A, VEGFR2, VEGFR3 and related proteins in endometrial carcinoma. Cytokine. 2014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;68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(2):94-100.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265B6D">
            <w:pPr>
              <w:rPr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10.1016/j.cyto.2014.04.005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5245" w:type="dxa"/>
            <w:vAlign w:val="center"/>
          </w:tcPr>
          <w:p w:rsidR="0041327C" w:rsidRPr="0041327C" w:rsidRDefault="0041327C" w:rsidP="00231C5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Watson RF,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Chernock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RD, Zhang KH, Michel LS, Adkins DR, El-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Mofty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SK, Lewis JS Jr. Epidermal Growth Factor Receptor Expression in Spindle Cell Carcinomas of the Head and Neck. Head Neck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Pathol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2015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;9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(3):360-8.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6F41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10.1007/s12105-014-0604-y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5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5245" w:type="dxa"/>
            <w:vAlign w:val="center"/>
          </w:tcPr>
          <w:p w:rsidR="0041327C" w:rsidRPr="0041327C" w:rsidRDefault="0041327C" w:rsidP="00D97A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Wei CC, Chen WY, Wang YC, Chen PJ, Lee JY, Wong TW, Chen WC, Wu JC, Chen GY,</w:t>
            </w:r>
          </w:p>
          <w:p w:rsidR="0041327C" w:rsidRPr="0041327C" w:rsidRDefault="0041327C" w:rsidP="00D97A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Chang MS, Lin YC. Detection of IL-20 and its receptors on psoriatic skin.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Clin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Immunol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2005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;117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(1):65-72.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sz w:val="24"/>
                <w:szCs w:val="24"/>
              </w:rPr>
            </w:pPr>
            <w:r w:rsidRPr="0041327C"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6F41E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10.1016/j.clim.2005.06.012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5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45" w:type="dxa"/>
            <w:vAlign w:val="center"/>
          </w:tcPr>
          <w:p w:rsidR="0041327C" w:rsidRPr="0041327C" w:rsidRDefault="0041327C" w:rsidP="00464A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Williet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Petcu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CA,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Rinaldi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Cottier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M, Del Tedesco E,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Clavel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L, Dumas O,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Jarlot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Bouarioua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Roblin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X,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Peoc'h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Phelip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JM. The level of epidermal growth factor receptors expression is correlated with the advancement of colorectal adenoma: validation of a surface biomarker.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Oncotarget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2017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;8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(10):16507- 16517.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265B6D">
            <w:pPr>
              <w:rPr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10.18632/oncotarget.14961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5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41327C" w:rsidRPr="0041327C" w:rsidRDefault="0041327C" w:rsidP="00C52ACF">
            <w:pPr>
              <w:pStyle w:val="HTM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Wimberger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Chebouti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Kasimir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-Bauer S,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Lachmann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R,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Kuhlisch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Kimmig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R,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Süleyman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Kuhlmann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JD. Explorative investigation of vascular endothelial growth factor receptor expression in primary ovarian cancer and its clinical relevance.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Gynecol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Oncol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2014;133(3):467-72.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2409" w:type="dxa"/>
          </w:tcPr>
          <w:p w:rsidR="0041327C" w:rsidRPr="0041327C" w:rsidRDefault="0041327C" w:rsidP="00265B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10.1016/j.ygyno.2014.03.574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lastRenderedPageBreak/>
              <w:t>5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5245" w:type="dxa"/>
            <w:vAlign w:val="center"/>
          </w:tcPr>
          <w:p w:rsidR="0041327C" w:rsidRPr="0041327C" w:rsidRDefault="0041327C" w:rsidP="00B2407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Wines BD, Yap ML, Powell MS, Tan PS,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KK, </w:t>
            </w:r>
            <w:proofErr w:type="spellStart"/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Orlowski</w:t>
            </w:r>
            <w:proofErr w:type="spellEnd"/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E, Hogarth PM. Distinctive expression of interleukin-23 receptor subunits on human Th17 and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γδ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T cells.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Immunol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Cell Biol. 2017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;95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(3):272-279.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265B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10.1038/icb.2016.93</w:t>
            </w:r>
          </w:p>
        </w:tc>
      </w:tr>
      <w:tr w:rsidR="0041327C" w:rsidRPr="0041327C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5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5245" w:type="dxa"/>
            <w:vAlign w:val="center"/>
          </w:tcPr>
          <w:p w:rsidR="0041327C" w:rsidRPr="0041327C" w:rsidRDefault="004132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Zahir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ST,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Tafti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HF,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Rahmani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K. Overexpression of HER-2/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neu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in patients with prostatic adenocarcinoma. Asian Pac J Cancer Prev. 2014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;15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(15):6425-8.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41327C" w:rsidRDefault="0041327C" w:rsidP="000358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http://journal.waocp.org/article_29621_1dc54f9c7016a974d0eebd54bb1a3c42.pdf</w:t>
            </w:r>
          </w:p>
        </w:tc>
      </w:tr>
      <w:tr w:rsidR="0041327C" w:rsidRPr="00AD4EAD" w:rsidTr="0041327C">
        <w:tc>
          <w:tcPr>
            <w:tcW w:w="675" w:type="dxa"/>
            <w:vAlign w:val="center"/>
          </w:tcPr>
          <w:p w:rsidR="0041327C" w:rsidRPr="0041327C" w:rsidRDefault="0041327C" w:rsidP="00CC0F47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5</w:t>
            </w:r>
            <w:r w:rsidRPr="0041327C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5245" w:type="dxa"/>
            <w:vAlign w:val="center"/>
          </w:tcPr>
          <w:p w:rsidR="0041327C" w:rsidRPr="0041327C" w:rsidRDefault="0041327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Zhang F, Yang X, Li L, Sun L, Wang BO, Yu X. Epidermal growth factor receptor expression and gene copy number analysis in gastric carcinoma samples from Chinese patients.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Oncol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Lett</w:t>
            </w:r>
            <w:proofErr w:type="spell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 2016</w:t>
            </w:r>
            <w:proofErr w:type="gramStart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;11</w:t>
            </w:r>
            <w:proofErr w:type="gramEnd"/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(1):173-181. </w:t>
            </w:r>
          </w:p>
        </w:tc>
        <w:tc>
          <w:tcPr>
            <w:tcW w:w="851" w:type="dxa"/>
          </w:tcPr>
          <w:p w:rsidR="0041327C" w:rsidRPr="0041327C" w:rsidRDefault="0041327C" w:rsidP="00265B6D">
            <w:pPr>
              <w:rPr>
                <w:sz w:val="24"/>
                <w:szCs w:val="24"/>
              </w:rPr>
            </w:pPr>
            <w:r w:rsidRPr="0041327C"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41327C" w:rsidRPr="00035809" w:rsidRDefault="0041327C" w:rsidP="0003580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132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10.3892/ol.2015.3875</w:t>
            </w:r>
            <w:bookmarkStart w:id="0" w:name="_GoBack"/>
            <w:bookmarkEnd w:id="0"/>
          </w:p>
        </w:tc>
      </w:tr>
    </w:tbl>
    <w:p w:rsidR="00B24257" w:rsidRPr="00AD4EAD" w:rsidRDefault="00B24257">
      <w:pPr>
        <w:rPr>
          <w:sz w:val="28"/>
          <w:szCs w:val="28"/>
        </w:rPr>
      </w:pPr>
    </w:p>
    <w:sectPr w:rsidR="00B24257" w:rsidRPr="00AD4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2DC"/>
    <w:rsid w:val="000347DB"/>
    <w:rsid w:val="00035809"/>
    <w:rsid w:val="00196FC5"/>
    <w:rsid w:val="001B0253"/>
    <w:rsid w:val="00231C5F"/>
    <w:rsid w:val="00265604"/>
    <w:rsid w:val="002714FD"/>
    <w:rsid w:val="0034454F"/>
    <w:rsid w:val="00363411"/>
    <w:rsid w:val="003722DC"/>
    <w:rsid w:val="00385DBC"/>
    <w:rsid w:val="0041327C"/>
    <w:rsid w:val="00450C61"/>
    <w:rsid w:val="00451A4F"/>
    <w:rsid w:val="004634FE"/>
    <w:rsid w:val="00464A2C"/>
    <w:rsid w:val="004A041E"/>
    <w:rsid w:val="004A53DB"/>
    <w:rsid w:val="004C0795"/>
    <w:rsid w:val="004E24D7"/>
    <w:rsid w:val="00564B8B"/>
    <w:rsid w:val="005E15BA"/>
    <w:rsid w:val="005F1C7D"/>
    <w:rsid w:val="006E2E46"/>
    <w:rsid w:val="006F41EA"/>
    <w:rsid w:val="00894299"/>
    <w:rsid w:val="009C2BA9"/>
    <w:rsid w:val="00A269BB"/>
    <w:rsid w:val="00A7652D"/>
    <w:rsid w:val="00AD4EAD"/>
    <w:rsid w:val="00B2407E"/>
    <w:rsid w:val="00B24257"/>
    <w:rsid w:val="00B57300"/>
    <w:rsid w:val="00B81C78"/>
    <w:rsid w:val="00C13795"/>
    <w:rsid w:val="00C27DD7"/>
    <w:rsid w:val="00C34DCD"/>
    <w:rsid w:val="00C52ACF"/>
    <w:rsid w:val="00C57F9F"/>
    <w:rsid w:val="00C8666F"/>
    <w:rsid w:val="00CE24F1"/>
    <w:rsid w:val="00D20E59"/>
    <w:rsid w:val="00D51D30"/>
    <w:rsid w:val="00D97A7A"/>
    <w:rsid w:val="00E650FF"/>
    <w:rsid w:val="00E82F99"/>
    <w:rsid w:val="00F3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D4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D4EAD"/>
    <w:rPr>
      <w:b/>
      <w:bCs/>
    </w:rPr>
  </w:style>
  <w:style w:type="character" w:styleId="a6">
    <w:name w:val="Hyperlink"/>
    <w:basedOn w:val="a0"/>
    <w:uiPriority w:val="99"/>
    <w:semiHidden/>
    <w:unhideWhenUsed/>
    <w:rsid w:val="00564B8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C52A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52AC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D4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D4EAD"/>
    <w:rPr>
      <w:b/>
      <w:bCs/>
    </w:rPr>
  </w:style>
  <w:style w:type="character" w:styleId="a6">
    <w:name w:val="Hyperlink"/>
    <w:basedOn w:val="a0"/>
    <w:uiPriority w:val="99"/>
    <w:semiHidden/>
    <w:unhideWhenUsed/>
    <w:rsid w:val="00564B8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C52A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52AC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1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7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i.org/10.1093/gigascience/giy002" TargetMode="External"/><Relationship Id="rId5" Type="http://schemas.openxmlformats.org/officeDocument/2006/relationships/hyperlink" Target="https://doi.org/10.1016/S0360-3016(01)01609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2372</Words>
  <Characters>13526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Alshevskaya</cp:lastModifiedBy>
  <cp:revision>18</cp:revision>
  <dcterms:created xsi:type="dcterms:W3CDTF">2019-01-09T03:04:00Z</dcterms:created>
  <dcterms:modified xsi:type="dcterms:W3CDTF">2019-02-12T05:43:00Z</dcterms:modified>
</cp:coreProperties>
</file>