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2551"/>
        <w:gridCol w:w="1837"/>
      </w:tblGrid>
      <w:tr w:rsidR="00780F10" w:rsidTr="00DD459E">
        <w:tc>
          <w:tcPr>
            <w:tcW w:w="1271" w:type="dxa"/>
          </w:tcPr>
          <w:p w:rsidR="00780F10" w:rsidRPr="00780F10" w:rsidRDefault="00780F10" w:rsidP="00780F10">
            <w:pPr>
              <w:spacing w:before="240" w:beforeAutospacing="1" w:after="24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0F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Порядко</w:t>
            </w:r>
            <w:proofErr w:type="spellEnd"/>
            <w:r w:rsidR="00DD4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80F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вый</w:t>
            </w:r>
            <w:proofErr w:type="gramEnd"/>
            <w:r w:rsidRPr="00780F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номер ссылки</w:t>
            </w:r>
          </w:p>
          <w:p w:rsidR="00780F10" w:rsidRPr="00780F10" w:rsidRDefault="00780F10" w:rsidP="00780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780F10" w:rsidRPr="00780F10" w:rsidRDefault="00780F10" w:rsidP="00780F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0F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Авторы, название публикации и источника, где она опубликована, выходные данные</w:t>
            </w:r>
          </w:p>
          <w:p w:rsidR="00780F10" w:rsidRPr="00780F10" w:rsidRDefault="00780F10" w:rsidP="00780F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F10" w:rsidRPr="00780F10" w:rsidRDefault="00780F10" w:rsidP="00780F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F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ФИО, название публикации и источника на английском</w:t>
            </w:r>
          </w:p>
        </w:tc>
        <w:tc>
          <w:tcPr>
            <w:tcW w:w="1837" w:type="dxa"/>
          </w:tcPr>
          <w:p w:rsidR="00780F10" w:rsidRPr="00780F10" w:rsidRDefault="00780F10" w:rsidP="00780F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F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Полный интернет-адрес (URL) цитируемой статьи или ее </w:t>
            </w:r>
            <w:proofErr w:type="spellStart"/>
            <w:r w:rsidRPr="00780F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doi</w:t>
            </w:r>
            <w:proofErr w:type="spellEnd"/>
            <w:r w:rsidRPr="00780F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31CC4" w:rsidRPr="006D237F" w:rsidTr="00DD459E">
        <w:tc>
          <w:tcPr>
            <w:tcW w:w="1271" w:type="dxa"/>
          </w:tcPr>
          <w:p w:rsidR="00331CC4" w:rsidRPr="006D237F" w:rsidRDefault="00E03B54" w:rsidP="00331CC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686" w:type="dxa"/>
          </w:tcPr>
          <w:p w:rsidR="00E03B54" w:rsidRPr="006D237F" w:rsidRDefault="00E03B54" w:rsidP="006D23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И.Б. Беляева, С.В. Лапин, А.В. Созина,В.И. Мазуров, А.А. Тотолян, “Антитела к цитруллин- содержащим антигенам в диагностике и прогнозировании течения раннего ревматоидного артрита,” </w:t>
            </w:r>
          </w:p>
          <w:p w:rsidR="00E03B54" w:rsidRPr="006D237F" w:rsidRDefault="00E03B54" w:rsidP="006D23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Медицинская Иммунология</w:t>
            </w: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</w:rPr>
              <w:t>, 2007, vol. 9, no. 1, pp. 77–84.</w:t>
            </w:r>
          </w:p>
          <w:p w:rsidR="00331CC4" w:rsidRPr="006D237F" w:rsidRDefault="00331CC4" w:rsidP="00331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31CC4" w:rsidRPr="006D237F" w:rsidRDefault="00841D30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Belyaeva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I.B.,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Mazurov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V.I.,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Sozina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A.V., Lapin S.V.,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Totolian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Areg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 AUTOANTIBODIES TO CIRTULLINATED ANTIGENS FOR DIAGNOSIS AND PREDICTION OF CLINICAL COURSE IN EARLY RHEUMATOID ARTHRITIS.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Medical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Immunology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Russia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 2007;9(1):77-84. (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Russ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.) </w:t>
            </w:r>
          </w:p>
        </w:tc>
        <w:tc>
          <w:tcPr>
            <w:tcW w:w="1837" w:type="dxa"/>
          </w:tcPr>
          <w:p w:rsidR="00331CC4" w:rsidRPr="006D237F" w:rsidRDefault="00841D30" w:rsidP="0078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237F">
              <w:rPr>
                <w:rFonts w:ascii="Times New Roman" w:hAnsi="Times New Roman" w:cs="Times New Roman"/>
                <w:sz w:val="28"/>
                <w:szCs w:val="28"/>
              </w:rPr>
              <w:t>DOI:10.15789</w:t>
            </w:r>
            <w:proofErr w:type="gramEnd"/>
            <w:r w:rsidRPr="006D237F">
              <w:rPr>
                <w:rFonts w:ascii="Times New Roman" w:hAnsi="Times New Roman" w:cs="Times New Roman"/>
                <w:sz w:val="28"/>
                <w:szCs w:val="28"/>
              </w:rPr>
              <w:t>/1563-0625-2007-1-77-84</w:t>
            </w:r>
          </w:p>
        </w:tc>
      </w:tr>
      <w:tr w:rsidR="00331CC4" w:rsidRPr="0015283F" w:rsidTr="006D237F">
        <w:trPr>
          <w:trHeight w:val="70"/>
        </w:trPr>
        <w:tc>
          <w:tcPr>
            <w:tcW w:w="1271" w:type="dxa"/>
          </w:tcPr>
          <w:p w:rsidR="00331CC4" w:rsidRPr="006D237F" w:rsidRDefault="00331CC4" w:rsidP="00331CC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03B54" w:rsidRPr="006D237F" w:rsidRDefault="00E03B54" w:rsidP="006D237F">
            <w:pPr>
              <w:widowControl w:val="0"/>
              <w:autoSpaceDE w:val="0"/>
              <w:autoSpaceDN w:val="0"/>
              <w:adjustRightInd w:val="0"/>
              <w:ind w:hanging="39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</w:rPr>
              <w:t>Лапин С.В., Маслянский А.Л., Иливанова Е.П., Мазуров В.И., Тотолян А.А. КЛИНИЧЕСКОЕ ЗНАЧЕНИЕ АНТИТЕЛ К ЦИКЛИЧЕСКОМУ ЦИТРУЛЛИНИРОВАННОМУ ПЕПТИДУ ПРИ РАННЕМ РЕВМАТОИДНОМ АРТРИТЕ Медицинская иммунология. 2004. Т. 6. № 1-2. С. 57-66</w:t>
            </w:r>
          </w:p>
          <w:p w:rsidR="00331CC4" w:rsidRPr="006D237F" w:rsidRDefault="00331CC4" w:rsidP="006D2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41D30" w:rsidRPr="006D237F" w:rsidRDefault="00841D30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Lapin S. V.,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Maslyanski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A.L.,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Ilivanova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E.P.,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Mazurov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V.I.,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Totolian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A.A.</w:t>
            </w:r>
          </w:p>
          <w:p w:rsidR="00841D30" w:rsidRPr="006D237F" w:rsidRDefault="00841D30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CLINICAL SIGNIFICANCE OF ANTI1CYCLIC CITRULLINATED PEPTIDE (CCP)</w:t>
            </w:r>
          </w:p>
          <w:p w:rsidR="00331CC4" w:rsidRPr="006D237F" w:rsidRDefault="00841D30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ANTIBODIES IN PATIENTS </w:t>
            </w:r>
            <w:r w:rsidR="007205F1"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WITH EARLY RHEUMATOID ARTHRITIS </w:t>
            </w:r>
            <w:proofErr w:type="spellStart"/>
            <w:r w:rsidR="007205F1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Med.Immunol</w:t>
            </w:r>
            <w:proofErr w:type="spellEnd"/>
            <w:r w:rsidR="007205F1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2004, vol.6, № 1-2, pp 57-66</w:t>
            </w:r>
          </w:p>
        </w:tc>
        <w:tc>
          <w:tcPr>
            <w:tcW w:w="1837" w:type="dxa"/>
          </w:tcPr>
          <w:p w:rsidR="00331CC4" w:rsidRPr="006D237F" w:rsidRDefault="007205F1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https://cyberleninka.ru/article/n/klinicheskoe-znachenie-antitel-k-tsiklicheskomu-tsitrullinirovannomu-peptidu-pri-rannem-revmatoidnom-artrite</w:t>
            </w:r>
          </w:p>
        </w:tc>
      </w:tr>
      <w:tr w:rsidR="00331CC4" w:rsidRPr="0015283F" w:rsidTr="00DD459E">
        <w:tc>
          <w:tcPr>
            <w:tcW w:w="1271" w:type="dxa"/>
          </w:tcPr>
          <w:p w:rsidR="00331CC4" w:rsidRPr="006D237F" w:rsidRDefault="00331CC4" w:rsidP="00331CC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E03B54" w:rsidRPr="006D237F" w:rsidRDefault="00E03B54" w:rsidP="006D237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Маслянский А.Л., Лапин С.В., Иливанова Е.Л., Мазуров В.И., Тотолян А.А. АНТИКЕРАТИНОВЫЕ АНТИТЕЛА И АНТИПЕРИНУКЛЕАРНЫЙ ФАКТОР ЯВЛЯЮТСЯ МАРКЕРОМ АГРЕССИВНОГО ТЕЧЕНИЯ РЕВМАТОИДНОГО АРТРИТА </w:t>
            </w:r>
          </w:p>
          <w:p w:rsidR="00E03B54" w:rsidRPr="006D237F" w:rsidRDefault="00E03B54" w:rsidP="006D237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31CC4" w:rsidRPr="006D237F" w:rsidRDefault="00E03B54" w:rsidP="006D2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</w:rPr>
              <w:t>Медицинская иммунология. 2003. Т. 5. № 5-6. С. 599-608.</w:t>
            </w:r>
          </w:p>
        </w:tc>
        <w:tc>
          <w:tcPr>
            <w:tcW w:w="2551" w:type="dxa"/>
          </w:tcPr>
          <w:p w:rsidR="006D237F" w:rsidRPr="006D237F" w:rsidRDefault="006D237F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Maslyanski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A.L., Lapin S. V.</w:t>
            </w:r>
            <w:proofErr w:type="gram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,</w:t>
            </w:r>
            <w:proofErr w:type="gram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Ilivanova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E.P.,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Mazurov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V.I.,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Totolian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A.A.</w:t>
            </w:r>
          </w:p>
          <w:p w:rsidR="00331CC4" w:rsidRPr="006D237F" w:rsidRDefault="006D237F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ANTIKERATIN ANTIBODIES AND ANTIPERINUCLEAR FACTOR ARE MARKERS OF AGGRESSIVE RHEUMATOID ARTHRITIS</w:t>
            </w:r>
          </w:p>
          <w:p w:rsidR="006D237F" w:rsidRPr="006D237F" w:rsidRDefault="006D237F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Med.Immunol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2003, vol.5, № 5-6, pp 599-608</w:t>
            </w:r>
          </w:p>
        </w:tc>
        <w:tc>
          <w:tcPr>
            <w:tcW w:w="1837" w:type="dxa"/>
          </w:tcPr>
          <w:p w:rsidR="00331CC4" w:rsidRPr="006D237F" w:rsidRDefault="006D237F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https://cyberleninka.ru/article/n/antikeratinovye-antitela-i-antiperinuklearnyy-faktor-yavlyayutsya-markerom-agressivnogo-techeniya-revmatoidnogo-artrita</w:t>
            </w:r>
          </w:p>
        </w:tc>
      </w:tr>
      <w:tr w:rsidR="00331CC4" w:rsidRPr="006D237F" w:rsidTr="00DD459E">
        <w:tc>
          <w:tcPr>
            <w:tcW w:w="1271" w:type="dxa"/>
          </w:tcPr>
          <w:p w:rsidR="00331CC4" w:rsidRPr="006D237F" w:rsidRDefault="00331CC4" w:rsidP="006D237F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331CC4" w:rsidRPr="006D237F" w:rsidRDefault="00E03B54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Ajeganova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al., “Disease Factors in Early Rheumatoid Arthritis Are Associated with Differential Risks for Cardiovascular Events and Mortality Depending on Age at Onset : A 10-year Observational Cohort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Study,”J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Rheumatol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vol. 40, no. 12, pp. 1958–1966, 2013.</w:t>
            </w:r>
          </w:p>
        </w:tc>
        <w:tc>
          <w:tcPr>
            <w:tcW w:w="2551" w:type="dxa"/>
          </w:tcPr>
          <w:p w:rsidR="00331CC4" w:rsidRPr="006D237F" w:rsidRDefault="00331CC4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331CC4" w:rsidRPr="006D237F" w:rsidRDefault="006D237F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10.3899/jrheum.130365</w:t>
            </w:r>
          </w:p>
        </w:tc>
      </w:tr>
      <w:tr w:rsidR="00331CC4" w:rsidRPr="00750CB7" w:rsidTr="00DD459E">
        <w:tc>
          <w:tcPr>
            <w:tcW w:w="1271" w:type="dxa"/>
          </w:tcPr>
          <w:p w:rsidR="00331CC4" w:rsidRPr="006D237F" w:rsidRDefault="00723EA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686" w:type="dxa"/>
          </w:tcPr>
          <w:p w:rsidR="00331CC4" w:rsidRPr="006D237F" w:rsidRDefault="00750CB7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M. Bukhari</w:t>
            </w:r>
            <w:r w:rsidR="00E03B54" w:rsidRPr="006D237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,</w:t>
            </w:r>
            <w:r w:rsidRPr="00750CB7">
              <w:rPr>
                <w:lang w:val="en-US"/>
              </w:rPr>
              <w:t xml:space="preserve"> </w:t>
            </w:r>
            <w:r w:rsidRPr="00750CB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Thomson W, Naseem H, Bunn D, Silman A, Symmons D, Barton A.</w:t>
            </w:r>
            <w:r w:rsidR="00E03B54" w:rsidRPr="006D237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“The performance of anti-cyclic citrullinated peptide antibodies in predicting the severity of radiologic damage in inflammatory polyarthritis: Results from the Norfolk Arthritis Register,” </w:t>
            </w:r>
            <w:r w:rsidR="00E03B54" w:rsidRPr="006D237F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en-US"/>
              </w:rPr>
              <w:t>Arthritis Rheum.</w:t>
            </w:r>
            <w:r w:rsidR="00E03B54" w:rsidRPr="006D237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, vol. 56, no. 9, pp. 2929–2935, 2007</w:t>
            </w:r>
          </w:p>
        </w:tc>
        <w:tc>
          <w:tcPr>
            <w:tcW w:w="2551" w:type="dxa"/>
          </w:tcPr>
          <w:p w:rsidR="00331CC4" w:rsidRPr="006D237F" w:rsidRDefault="00331CC4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331CC4" w:rsidRPr="006D237F" w:rsidRDefault="006D237F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10.1002/art.22868</w:t>
            </w:r>
          </w:p>
        </w:tc>
      </w:tr>
      <w:tr w:rsidR="00723EAB" w:rsidRPr="006D237F" w:rsidTr="00DD459E">
        <w:tc>
          <w:tcPr>
            <w:tcW w:w="1271" w:type="dxa"/>
          </w:tcPr>
          <w:p w:rsidR="00723EAB" w:rsidRPr="00750CB7" w:rsidRDefault="00723EA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3686" w:type="dxa"/>
          </w:tcPr>
          <w:p w:rsidR="00723EAB" w:rsidRPr="006D237F" w:rsidRDefault="00E03B54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S. H. Chan, Y. N. Lin, G. B. Wee, W. H.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Koh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and M. L.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Boey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“HLA class 2 genes in Singaporean Chinese rheumatoid arthritis,” Br J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Rheumatol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 33, no. 8, pp. 713–717, 1994.</w:t>
            </w:r>
          </w:p>
        </w:tc>
        <w:tc>
          <w:tcPr>
            <w:tcW w:w="2551" w:type="dxa"/>
          </w:tcPr>
          <w:p w:rsidR="00723EAB" w:rsidRPr="006D237F" w:rsidRDefault="00723EAB" w:rsidP="00331C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837" w:type="dxa"/>
          </w:tcPr>
          <w:p w:rsidR="00723EA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8055196</w:t>
            </w:r>
          </w:p>
        </w:tc>
      </w:tr>
      <w:tr w:rsidR="00723EAB" w:rsidRPr="00750CB7" w:rsidTr="00DD459E">
        <w:tc>
          <w:tcPr>
            <w:tcW w:w="1271" w:type="dxa"/>
          </w:tcPr>
          <w:p w:rsidR="00723EAB" w:rsidRPr="006D237F" w:rsidRDefault="00723EA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686" w:type="dxa"/>
          </w:tcPr>
          <w:p w:rsidR="00723EAB" w:rsidRPr="006D237F" w:rsidRDefault="00750CB7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F. A. Van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Gaalen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50CB7">
              <w:rPr>
                <w:lang w:val="en-US"/>
              </w:rPr>
              <w:t xml:space="preserve"> </w:t>
            </w:r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Jill Van </w:t>
            </w:r>
            <w:proofErr w:type="spellStart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Aken</w:t>
            </w:r>
            <w:proofErr w:type="spellEnd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Tom W. J. Huizinga  </w:t>
            </w:r>
            <w:proofErr w:type="spellStart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Geziena</w:t>
            </w:r>
            <w:proofErr w:type="spellEnd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Th. </w:t>
            </w:r>
            <w:proofErr w:type="spellStart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Schreuder</w:t>
            </w:r>
            <w:proofErr w:type="spellEnd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Ferdinand C. </w:t>
            </w:r>
            <w:proofErr w:type="spellStart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Breedveld</w:t>
            </w:r>
            <w:proofErr w:type="spellEnd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Eric </w:t>
            </w:r>
            <w:proofErr w:type="spellStart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Zanelli</w:t>
            </w:r>
            <w:proofErr w:type="spellEnd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Walther J. Van </w:t>
            </w:r>
            <w:proofErr w:type="spellStart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Venrooij</w:t>
            </w:r>
            <w:proofErr w:type="spellEnd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Cornelis</w:t>
            </w:r>
            <w:proofErr w:type="spellEnd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</w:t>
            </w:r>
            <w:proofErr w:type="spellStart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Verweij</w:t>
            </w:r>
            <w:proofErr w:type="spellEnd"/>
            <w:r w:rsidR="00E03B54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“Association between HLA class II genes and autoantibodies to cyclic </w:t>
            </w:r>
            <w:proofErr w:type="spellStart"/>
            <w:r w:rsidR="00E03B54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citrullinated</w:t>
            </w:r>
            <w:proofErr w:type="spellEnd"/>
            <w:r w:rsidR="00E03B54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peptides (CCPs) influences the severity of rheumatoid arthritis,” Arthritis Rheum., vol. 50, no. 7, pp. 2113–2121, 2004.</w:t>
            </w:r>
          </w:p>
        </w:tc>
        <w:tc>
          <w:tcPr>
            <w:tcW w:w="2551" w:type="dxa"/>
          </w:tcPr>
          <w:p w:rsidR="00723EAB" w:rsidRPr="006D237F" w:rsidRDefault="00723EA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723EA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10.1002/art.20316</w:t>
            </w:r>
          </w:p>
        </w:tc>
      </w:tr>
      <w:tr w:rsidR="00723EAB" w:rsidRPr="006D237F" w:rsidTr="00DD459E">
        <w:tc>
          <w:tcPr>
            <w:tcW w:w="1271" w:type="dxa"/>
          </w:tcPr>
          <w:p w:rsidR="00723EAB" w:rsidRPr="00750CB7" w:rsidRDefault="00723EA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8. </w:t>
            </w:r>
          </w:p>
        </w:tc>
        <w:tc>
          <w:tcPr>
            <w:tcW w:w="3686" w:type="dxa"/>
          </w:tcPr>
          <w:p w:rsidR="00723EAB" w:rsidRPr="006D237F" w:rsidRDefault="00E03B54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P. K.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Gregersen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J. Silver,  R. J. Winchester, “The Shared Epitope Hypothesis,” Arthritis Rheum., 1987,</w:t>
            </w:r>
            <w:r w:rsid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vol. 30, no. 11, pp. 1205–1212</w:t>
            </w: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551" w:type="dxa"/>
          </w:tcPr>
          <w:p w:rsidR="00723EAB" w:rsidRPr="006D237F" w:rsidRDefault="00723EA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723EA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2446635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3686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 H. M. van der Helm-van Mil, K. N.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Verpoort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F. C.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Breedveld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R. E. M. Toes, and T. W. J. Huizinga, “Antibodies to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citrullinated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proteins and differences in clinical progression of rheumatoid arthritis.,” Arthritis Res.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vol. 7, no. 5, pp. R949-58, 2005.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10.1186/ar1767</w:t>
            </w:r>
          </w:p>
        </w:tc>
      </w:tr>
      <w:tr w:rsidR="00723EAB" w:rsidRPr="0015283F" w:rsidTr="00DD459E">
        <w:tc>
          <w:tcPr>
            <w:tcW w:w="1271" w:type="dxa"/>
          </w:tcPr>
          <w:p w:rsidR="00723EA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3686" w:type="dxa"/>
          </w:tcPr>
          <w:p w:rsidR="00723EAB" w:rsidRPr="006D237F" w:rsidRDefault="0015283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Huizinga TW</w:t>
            </w:r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Amos CI, van der Helm-van Mil AH, Chen W, van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Gaalen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FA,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Jawaheer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Schreuder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GM,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Wener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Breedveld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FC, Ahmad N,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Lum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RF, de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Vries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RR,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Gregersen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PK, Toes RE, Criswell LA</w:t>
            </w:r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“Refining the complex rheumatoid arthritis phenotype based on specificity of the HLA-DRB1 shared epitope for antibodies to </w:t>
            </w:r>
            <w:proofErr w:type="spellStart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citrullinated</w:t>
            </w:r>
            <w:proofErr w:type="spellEnd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proteins,” Arthritis Rheum., </w:t>
            </w:r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vol. 52, no. 11, pp. 3433–3438, 2005.</w:t>
            </w:r>
            <w:proofErr w:type="gramEnd"/>
          </w:p>
        </w:tc>
        <w:tc>
          <w:tcPr>
            <w:tcW w:w="2551" w:type="dxa"/>
          </w:tcPr>
          <w:p w:rsidR="00723EAB" w:rsidRPr="006D237F" w:rsidRDefault="00723EA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723EA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10.1002/art.21385</w:t>
            </w:r>
          </w:p>
        </w:tc>
      </w:tr>
      <w:tr w:rsidR="0028652B" w:rsidRPr="0015283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11. </w:t>
            </w:r>
          </w:p>
        </w:tc>
        <w:tc>
          <w:tcPr>
            <w:tcW w:w="3686" w:type="dxa"/>
          </w:tcPr>
          <w:p w:rsidR="0028652B" w:rsidRPr="006D237F" w:rsidRDefault="0015283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Klareskog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</w:t>
            </w:r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Stolt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P, Lundberg K,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Källberg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Bengtsson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C, Grunewald J,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Rönnelid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J, Harris HE,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Ulfgren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AK,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Rantapää-Dahlqvist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Eklund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Padyukov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Alfredsson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</w:t>
            </w:r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“A new model for an etiology of rheumatoid arthritis: Smoking may trigger HLA-DR (shared epitope)-restricted immune reactions to </w:t>
            </w:r>
            <w:proofErr w:type="spellStart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autoantigens</w:t>
            </w:r>
            <w:proofErr w:type="spellEnd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modified by </w:t>
            </w:r>
            <w:proofErr w:type="spellStart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citrullination</w:t>
            </w:r>
            <w:proofErr w:type="spellEnd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,” Arthritis Rheum., vol. 54, no. 1, pp. 38–46, 2006.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http://onlinelibrary.wiley.com/doi/10.1002/art.21575/full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12.  </w:t>
            </w:r>
          </w:p>
        </w:tc>
        <w:tc>
          <w:tcPr>
            <w:tcW w:w="3686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H. S. Lee, K. W. Lee, G. G. Song, H. A. Kim, S. Y. Kim, and S. C. Bae, “Increased susceptibility to rheumatoid arthritis in koreans heterozygous for HLA-DRB1*0405 and *0901,” </w:t>
            </w:r>
            <w:r w:rsidRPr="006D237F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en-US"/>
              </w:rPr>
              <w:t>Arthritis Rheum.</w:t>
            </w: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, vol. 50, no. 11, pp. 3468–3475, 2004.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10.1002/art.20608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3686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L. Lin, Y. Chen, Z. Xiao, S. Huang, and Z. Yang, “The association of HLA-DRB1 alleles with rheumatoid arthritis in the Chinese Shantou population: a follow-up study,”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Biochem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Cell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 85, no. 2, pp. 227–238, 2007.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10.1139/o06-204</w:t>
            </w:r>
          </w:p>
        </w:tc>
      </w:tr>
      <w:tr w:rsidR="0028652B" w:rsidRPr="0015283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14. </w:t>
            </w:r>
          </w:p>
        </w:tc>
        <w:tc>
          <w:tcPr>
            <w:tcW w:w="3686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S. C. Liu, </w:t>
            </w: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Chang TY, Lee YJ, Chu CC, Lin M, Chen ZX, Liu HF, Dang CW, Chang SC, Lee CS, Chen TL, Huang CH.</w:t>
            </w:r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“Influence of HLA-DRB1 genes and the shared epitope on genetic susceptibility to rheumatoid arthritis in Taiwanese,” J. </w:t>
            </w:r>
            <w:proofErr w:type="spellStart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Rheumatol</w:t>
            </w:r>
            <w:proofErr w:type="spellEnd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vol. 34, no. 4, pp. 674–680, 2007.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https://www.ncbi.nlm.nih.gov/pubmed/17309132</w:t>
            </w:r>
          </w:p>
        </w:tc>
      </w:tr>
      <w:tr w:rsidR="0028652B" w:rsidRPr="0015283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15. </w:t>
            </w:r>
          </w:p>
        </w:tc>
        <w:tc>
          <w:tcPr>
            <w:tcW w:w="3686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Louzada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-Junior,</w:t>
            </w:r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.V.C. Freitas1, R.D.R. Oliveira</w:t>
            </w: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N.H.S. Degha</w:t>
            </w:r>
            <w:r w:rsid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ide1, R.A. </w:t>
            </w:r>
            <w:proofErr w:type="spellStart"/>
            <w:r w:rsid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M.B.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Bertolo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E.A. </w:t>
            </w:r>
            <w:proofErr w:type="spellStart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Donadi</w:t>
            </w:r>
            <w:proofErr w:type="spellEnd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“A majority of Brazilian patients with rheumatoid arthritis HLA-DRB1 alleles carry both the HLA-DRB1 shared epitope and anti-</w:t>
            </w:r>
            <w:proofErr w:type="spellStart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citrunillated</w:t>
            </w:r>
            <w:proofErr w:type="spellEnd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peptide antibodies,” Brazilian J. Med. Biol. Res., vol. 41, no. 6, pp. 493–499, 2008.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http://www.scielo.br/scielo.php?script=sci_arttext&amp;pid=S0100-879X2008000600010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16. </w:t>
            </w:r>
          </w:p>
        </w:tc>
        <w:tc>
          <w:tcPr>
            <w:tcW w:w="3686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I. B.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McInnes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G. </w:t>
            </w:r>
            <w:proofErr w:type="spellStart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Schett</w:t>
            </w:r>
            <w:proofErr w:type="spellEnd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“The Pathogenesis of Rheumatoid Arthritis,” N. Engl. J. Med., vol. 365, no. 23, pp. 2205–2219, 2011.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10.1056/NEJMra1004965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17. </w:t>
            </w:r>
          </w:p>
        </w:tc>
        <w:tc>
          <w:tcPr>
            <w:tcW w:w="3686" w:type="dxa"/>
          </w:tcPr>
          <w:p w:rsidR="0028652B" w:rsidRPr="006D237F" w:rsidRDefault="00750CB7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Y. Okada, Kim K, Han B, Pillai NE, Ong RT, Saw WY</w:t>
            </w:r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Luo M, Jiang L</w:t>
            </w:r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Yin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J, Bang SY, Lee HS, Brown MA,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SC7, Xu H6,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YY, de Bakker PI,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Raychaudhuri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</w:t>
            </w:r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“Risk for ACPA-positive rheumatoid arthritis is driven by shared HLA amino acid polymorphisms in Asian and European populations,” Hum. Mol. Genet., vol. 23, no. 25, pp. 6916–6926, 2014.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10.1093/</w:t>
            </w:r>
            <w:proofErr w:type="spellStart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hmg</w:t>
            </w:r>
            <w:proofErr w:type="spellEnd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/ddu387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18. </w:t>
            </w:r>
          </w:p>
        </w:tc>
        <w:tc>
          <w:tcPr>
            <w:tcW w:w="3686" w:type="dxa"/>
          </w:tcPr>
          <w:p w:rsidR="0028652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Padyukov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C. Suva, P.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Stolt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L.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Alfredsson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and L.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Klareskog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“A gene-environment interaction between smoking and shared epitope genes in HLA-DR provides a high risk of seropositive rheumatoid arthritis,” Arthritis Rheum., vol. 50, no. 10, pp. 3085–3092, 2004.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10.1002/art.20553</w:t>
            </w:r>
          </w:p>
        </w:tc>
      </w:tr>
      <w:tr w:rsidR="0028652B" w:rsidRPr="0015283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19. </w:t>
            </w:r>
          </w:p>
        </w:tc>
        <w:tc>
          <w:tcPr>
            <w:tcW w:w="3686" w:type="dxa"/>
          </w:tcPr>
          <w:p w:rsidR="0028652B" w:rsidRPr="006D237F" w:rsidRDefault="00750CB7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Pursglove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J. Murray,</w:t>
            </w:r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Smyth, “Intermediate Russian: A Grammar and Workbook,” Mod. Lang. Rev., vol. 97, no. 2, p. 509, 2002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http://chamicoursderusse.zohosites.com/files/THEMESIntermediate%20Russian%20a%20Grammar%20and%20Workbook.pdf</w:t>
            </w:r>
          </w:p>
        </w:tc>
      </w:tr>
      <w:tr w:rsidR="0028652B" w:rsidRPr="0015283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20. </w:t>
            </w:r>
          </w:p>
        </w:tc>
        <w:tc>
          <w:tcPr>
            <w:tcW w:w="3686" w:type="dxa"/>
          </w:tcPr>
          <w:p w:rsidR="0028652B" w:rsidRPr="006D237F" w:rsidRDefault="0015283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Reviron</w:t>
            </w:r>
            <w:proofErr w:type="spellEnd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Perdriger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Toussirot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Wendling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Balandraud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Guis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Semana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Tiberghien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P, Mercier P,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Roudier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</w:t>
            </w:r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“Influence of shared epitope-negative HLA-DRB1 alleles on genetic susceptibility to rheumatoid arthritis,” Arthritis Rheum., vol. 44, no. 3, pp. 535–540, 2001.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 10.1002/art.23433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21. </w:t>
            </w:r>
          </w:p>
        </w:tc>
        <w:tc>
          <w:tcPr>
            <w:tcW w:w="3686" w:type="dxa"/>
          </w:tcPr>
          <w:p w:rsidR="0028652B" w:rsidRPr="006D237F" w:rsidRDefault="0015283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S. W.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Scally</w:t>
            </w:r>
            <w:proofErr w:type="spellEnd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Petersen J, Law SC,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Dudek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NL,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Nel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HJ,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Loh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KL,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Wijeyewickrema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LC,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Eckle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SB, van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Heemst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J, Pike RN,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McCluskey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J, Toes RE, La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Gruta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NL, Purcell AW, Reid HH, Thomas R,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Rossjohn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</w:t>
            </w:r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“A molecular basis for the association of the HLA-DRB1 locus, </w:t>
            </w:r>
            <w:proofErr w:type="spellStart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citrullination</w:t>
            </w:r>
            <w:proofErr w:type="spellEnd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and rheumatoid arthritis.,” J. Exp. Med., vol. 210, no. 12, pp. 2569–82, 2013.</w:t>
            </w:r>
            <w:proofErr w:type="gramEnd"/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 10.1084/jem.20131241</w:t>
            </w: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</w:t>
            </w:r>
          </w:p>
        </w:tc>
        <w:tc>
          <w:tcPr>
            <w:tcW w:w="3686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G. A.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Schellekens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B. A. W. De Jong, F. H. J. Van Den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Hoogen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L. B. A. Van De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Putte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and W. J. Van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Venrooij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“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Citrulline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an essential constituent of antigenic determinants recognized by rheumatoid arthritis-specific autoantibodies,” J.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Invest.,</w:t>
            </w:r>
            <w:proofErr w:type="gram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1998, vol. 101, no. 1, pp. 273–281.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 10.1172/JCI1316</w:t>
            </w: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</w:t>
            </w:r>
          </w:p>
        </w:tc>
        <w:tc>
          <w:tcPr>
            <w:tcW w:w="3686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Stastny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“Association of the B-cell alloantigen DRw4 with rheumatoid </w:t>
            </w:r>
            <w:proofErr w:type="gram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arthritis.,</w:t>
            </w:r>
            <w:proofErr w:type="gram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 N. Engl. J. Med., vol. 298, no. 16, pp. 869–871, 1978.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10.1056/NEJM197804202981602</w:t>
            </w:r>
          </w:p>
        </w:tc>
      </w:tr>
      <w:tr w:rsidR="004D3D4B" w:rsidRPr="0015283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</w:t>
            </w:r>
          </w:p>
        </w:tc>
        <w:tc>
          <w:tcPr>
            <w:tcW w:w="3686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 J.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Silman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J. E. Pearson, “Epidemiology and genetics of rheumatoid </w:t>
            </w:r>
            <w:proofErr w:type="gram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arthritis.,</w:t>
            </w:r>
            <w:proofErr w:type="gram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Arthritis Res., 2002, vol. 4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3, pp. S265-72.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https://arthritis-research.biomedcentral.com/articles/10.1186/ar578</w:t>
            </w: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</w:t>
            </w:r>
          </w:p>
        </w:tc>
        <w:tc>
          <w:tcPr>
            <w:tcW w:w="3686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Stolt</w:t>
            </w:r>
            <w:proofErr w:type="spellEnd"/>
            <w:r w:rsidR="00750CB7"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750CB7"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Yahya</w:t>
            </w:r>
            <w:proofErr w:type="spellEnd"/>
            <w:r w:rsidR="00750CB7"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A, </w:t>
            </w:r>
            <w:proofErr w:type="spellStart"/>
            <w:r w:rsidR="00750CB7"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Bengtsson</w:t>
            </w:r>
            <w:proofErr w:type="spellEnd"/>
            <w:r w:rsidR="00750CB7"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C, </w:t>
            </w:r>
            <w:proofErr w:type="spellStart"/>
            <w:r w:rsidR="00750CB7"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Källberg</w:t>
            </w:r>
            <w:proofErr w:type="spellEnd"/>
            <w:r w:rsidR="00750CB7"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H, </w:t>
            </w:r>
            <w:proofErr w:type="spellStart"/>
            <w:r w:rsidR="00750CB7"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Rönnelid</w:t>
            </w:r>
            <w:proofErr w:type="spellEnd"/>
            <w:r w:rsidR="00750CB7"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J, Lundberg I, </w:t>
            </w:r>
            <w:proofErr w:type="spellStart"/>
            <w:r w:rsidR="00750CB7"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Klareskog</w:t>
            </w:r>
            <w:proofErr w:type="spellEnd"/>
            <w:r w:rsidR="00750CB7"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L, </w:t>
            </w:r>
            <w:proofErr w:type="spellStart"/>
            <w:r w:rsidR="00750CB7"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Alfredsson</w:t>
            </w:r>
            <w:proofErr w:type="spellEnd"/>
            <w:r w:rsidR="00750CB7"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L; EIRA Study Group. </w:t>
            </w: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“Silica exposure among male current smokers is associated with a high risk of developing ACPA-positive rheumatoid arthritis,” Ann Rheum Dis, vol. 69, no. 6, pp. 1072–1076, 2010.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10.1136/ard.2009.114694</w:t>
            </w:r>
          </w:p>
        </w:tc>
      </w:tr>
      <w:tr w:rsidR="004D3D4B" w:rsidRPr="00750CB7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</w:t>
            </w:r>
          </w:p>
        </w:tc>
        <w:tc>
          <w:tcPr>
            <w:tcW w:w="3686" w:type="dxa"/>
          </w:tcPr>
          <w:p w:rsidR="004D3D4B" w:rsidRPr="006D237F" w:rsidRDefault="00750CB7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 L. Too,</w:t>
            </w:r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Nor </w:t>
            </w:r>
            <w:proofErr w:type="spellStart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Asiah</w:t>
            </w:r>
            <w:proofErr w:type="spellEnd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Muhamad1, Anna Ilar3, Leonid Padyukov2, Lars Alfredsson3, Lars Klareskog2, </w:t>
            </w:r>
            <w:proofErr w:type="spellStart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Shahnaz</w:t>
            </w:r>
            <w:proofErr w:type="spellEnd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Murad1, Camilla </w:t>
            </w:r>
            <w:proofErr w:type="spellStart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Bengtsson</w:t>
            </w:r>
            <w:proofErr w:type="spellEnd"/>
            <w:r w:rsidRP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“Occupational exposure to textile dust increases the risk of rheumatoid arthritis: results from a Malaysian population-based case-control study.,” Ann. Rheum. Dis., pp. 1–6, 2015.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10.1136/annrheumdis-2015-208278</w:t>
            </w:r>
          </w:p>
        </w:tc>
      </w:tr>
      <w:tr w:rsidR="004D3D4B" w:rsidRPr="0015283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</w:t>
            </w:r>
          </w:p>
        </w:tc>
        <w:tc>
          <w:tcPr>
            <w:tcW w:w="3686" w:type="dxa"/>
          </w:tcPr>
          <w:p w:rsidR="004D3D4B" w:rsidRPr="006D237F" w:rsidRDefault="00750CB7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Viatte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 Barton, “The role of rheumatoid arthritis genetic susceptibility markers in the prediction of erosive disease,” Eur. </w:t>
            </w:r>
            <w:proofErr w:type="spellStart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Musculoskelet</w:t>
            </w:r>
            <w:proofErr w:type="spellEnd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Rev., vol. 7, no. 2, pp. 102–107, 2012.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https://www.ncbi.nlm.nih.gov/m/pubmed/20219786/</w:t>
            </w: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</w:t>
            </w:r>
          </w:p>
        </w:tc>
        <w:tc>
          <w:tcPr>
            <w:tcW w:w="3686" w:type="dxa"/>
          </w:tcPr>
          <w:p w:rsidR="004D3D4B" w:rsidRPr="006D237F" w:rsidRDefault="004D3D4B" w:rsidP="004D3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Waaler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“ON THE OCCURRENCE OF A </w:t>
            </w: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FACTOR IN HUMAN SERUM ACTIVATING THE SPECIFIC AGGLUTINATION OF SHEEP BLOOD </w:t>
            </w:r>
            <w:proofErr w:type="gram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CORPUSCLES.,</w:t>
            </w:r>
            <w:proofErr w:type="gram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Acta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Pathol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Microbiol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Scand., 1940, vol. 17, no. 2, pp. 172–188.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3C7112" w:rsidRPr="003C7112" w:rsidRDefault="003C7112" w:rsidP="003C71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10.1111/j.160</w:t>
            </w: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0-0463.2007.apm_682a.x</w:t>
            </w:r>
          </w:p>
          <w:p w:rsidR="004D3D4B" w:rsidRPr="006D237F" w:rsidRDefault="004D3D4B" w:rsidP="003C71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3D4B" w:rsidRPr="0015283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29.</w:t>
            </w:r>
          </w:p>
        </w:tc>
        <w:tc>
          <w:tcPr>
            <w:tcW w:w="3686" w:type="dxa"/>
          </w:tcPr>
          <w:p w:rsidR="004D3D4B" w:rsidRPr="006D237F" w:rsidRDefault="004D3D4B" w:rsidP="004D3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Wakitani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K.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Imoto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N. Murata, H. Oonishi, T. Ochi, and M.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Yoneda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“An association between the natural course of shoulder joint destruction in rheumatoid arthritis and HLA-DRB1*0405 in Japanese patients,”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Scand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Rheumatol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 27, no. 2, pp. 146–148, 1998.</w:t>
            </w:r>
          </w:p>
          <w:p w:rsidR="004D3D4B" w:rsidRPr="006D237F" w:rsidRDefault="004D3D4B" w:rsidP="004D3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https://www.ncbi.nlm.nih.gov/pubmed/9572642</w:t>
            </w:r>
          </w:p>
        </w:tc>
      </w:tr>
      <w:tr w:rsidR="004D3D4B" w:rsidRPr="0015283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</w:t>
            </w:r>
          </w:p>
        </w:tc>
        <w:tc>
          <w:tcPr>
            <w:tcW w:w="3686" w:type="dxa"/>
          </w:tcPr>
          <w:p w:rsidR="004D3D4B" w:rsidRPr="006D237F" w:rsidRDefault="004D3D4B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R. F.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Willkens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G. T.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Nepom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750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C. R. Marks, J. W. Nettles, </w:t>
            </w:r>
            <w:bookmarkStart w:id="0" w:name="_GoBack"/>
            <w:bookmarkEnd w:id="0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 S.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Nepom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“Association of HLA–Dw16 with rheumatoid arthritis in Yakima Indians. Further evidence for the ‘shared epitope’ hypothesis,” Arthritis Rheum., vol. 34, no. 1, pp. 43–47, 1991.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https://www.ncbi.nlm.nih.gov/pubmed/1701997</w:t>
            </w:r>
          </w:p>
        </w:tc>
      </w:tr>
      <w:tr w:rsidR="004D3D4B" w:rsidRPr="0015283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</w:t>
            </w:r>
          </w:p>
        </w:tc>
        <w:tc>
          <w:tcPr>
            <w:tcW w:w="3686" w:type="dxa"/>
          </w:tcPr>
          <w:p w:rsidR="004D3D4B" w:rsidRPr="006D237F" w:rsidRDefault="0015283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D. Van Der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Woude</w:t>
            </w:r>
            <w:proofErr w:type="spellEnd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Lie BA,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Lundström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E, Balsa A,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Feitsma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Houwing-Duistermaat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JJ,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Verduijn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Nordang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GB,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Alfredsson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Klareskog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Pascual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-Salcedo D, Gonzalez-Gay MA, Lopez-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Nevot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MA, Valero F,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Roep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BO, Huizinga TW,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Kvien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TK, Martín J,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Padyukov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L, de </w:t>
            </w:r>
            <w:proofErr w:type="spellStart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Vries</w:t>
            </w:r>
            <w:proofErr w:type="spellEnd"/>
            <w:r w:rsidRPr="0015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RR, Toes RE.</w:t>
            </w:r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“Protection against anti-</w:t>
            </w:r>
            <w:proofErr w:type="spellStart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citrullinated</w:t>
            </w:r>
            <w:proofErr w:type="spellEnd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protein antibody-positive rheumatoid arthritis is predominantly associated with </w:t>
            </w:r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HLA-DRB1*1301: A meta-analysis of HLA-DRB1 associations with anti-</w:t>
            </w:r>
            <w:proofErr w:type="spellStart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citrullinated</w:t>
            </w:r>
            <w:proofErr w:type="spellEnd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protein antibody-positive and anti-</w:t>
            </w:r>
            <w:proofErr w:type="spellStart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citrullinated</w:t>
            </w:r>
            <w:proofErr w:type="spellEnd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,</w:t>
            </w:r>
            <w:proofErr w:type="gramEnd"/>
            <w:r w:rsidR="004D3D4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 Arthritis Rheum., vol. 62, no. 5, pp. 1236–1245, 2010.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10.1002/art.27366</w:t>
            </w: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32.</w:t>
            </w:r>
          </w:p>
        </w:tc>
        <w:tc>
          <w:tcPr>
            <w:tcW w:w="3686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Xue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J. Zhang, Y. M. Chen, M. Guan, S. G. Zheng, and H. J.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Zou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“The HLA-DRB1 shared epitope is not associated with antibodies against cyclic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citrullinated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peptide in Chinese patients with rheumatoid arthritis,” Scand. J.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Rheumatol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vol. 37, no. 3, pp. 183–187, 2008.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10.1080/03009740701874444</w:t>
            </w:r>
          </w:p>
        </w:tc>
      </w:tr>
    </w:tbl>
    <w:p w:rsidR="000B12D7" w:rsidRPr="006D237F" w:rsidRDefault="000B12D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B12D7" w:rsidRPr="006D2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B52EE"/>
    <w:multiLevelType w:val="hybridMultilevel"/>
    <w:tmpl w:val="14A4550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F7"/>
    <w:rsid w:val="000B12D7"/>
    <w:rsid w:val="0015283F"/>
    <w:rsid w:val="001C47F7"/>
    <w:rsid w:val="002152D8"/>
    <w:rsid w:val="0028652B"/>
    <w:rsid w:val="00331CC4"/>
    <w:rsid w:val="003C7112"/>
    <w:rsid w:val="004A413E"/>
    <w:rsid w:val="004D3D4B"/>
    <w:rsid w:val="006D237F"/>
    <w:rsid w:val="007173B1"/>
    <w:rsid w:val="007205F1"/>
    <w:rsid w:val="00723EAB"/>
    <w:rsid w:val="00750CB7"/>
    <w:rsid w:val="00780F10"/>
    <w:rsid w:val="00785A70"/>
    <w:rsid w:val="007F436A"/>
    <w:rsid w:val="00841D30"/>
    <w:rsid w:val="00876DE0"/>
    <w:rsid w:val="008B3B29"/>
    <w:rsid w:val="00903416"/>
    <w:rsid w:val="00D72E6D"/>
    <w:rsid w:val="00D812D7"/>
    <w:rsid w:val="00D827D0"/>
    <w:rsid w:val="00DD459E"/>
    <w:rsid w:val="00DE4420"/>
    <w:rsid w:val="00E03B54"/>
    <w:rsid w:val="00F70B80"/>
    <w:rsid w:val="00FD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8F5BB-7EFC-4313-B00D-054D8400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80F10"/>
    <w:rPr>
      <w:b/>
      <w:bCs/>
    </w:rPr>
  </w:style>
  <w:style w:type="character" w:customStyle="1" w:styleId="apple-converted-space">
    <w:name w:val="apple-converted-space"/>
    <w:basedOn w:val="a0"/>
    <w:rsid w:val="00780F10"/>
  </w:style>
  <w:style w:type="character" w:styleId="a5">
    <w:name w:val="Hyperlink"/>
    <w:rsid w:val="00780F10"/>
    <w:rPr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3B2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3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2018-03-11T15:40:00Z</cp:lastPrinted>
  <dcterms:created xsi:type="dcterms:W3CDTF">2018-04-06T17:34:00Z</dcterms:created>
  <dcterms:modified xsi:type="dcterms:W3CDTF">2018-04-06T17:34:00Z</dcterms:modified>
</cp:coreProperties>
</file>