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2551"/>
        <w:gridCol w:w="1837"/>
      </w:tblGrid>
      <w:tr w:rsidR="00780F10" w:rsidTr="00DD459E">
        <w:tc>
          <w:tcPr>
            <w:tcW w:w="1271" w:type="dxa"/>
          </w:tcPr>
          <w:p w:rsidR="00780F10" w:rsidRPr="00780F10" w:rsidRDefault="00780F10" w:rsidP="00780F10">
            <w:pPr>
              <w:spacing w:before="240" w:beforeAutospacing="1" w:after="240" w:afterAutospacing="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Порядко</w:t>
            </w:r>
            <w:proofErr w:type="spellEnd"/>
            <w:r w:rsidR="00DD459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вый</w:t>
            </w:r>
            <w:proofErr w:type="gramEnd"/>
            <w:r w:rsidRPr="00780F1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номер ссылки</w:t>
            </w:r>
          </w:p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Авторы, название публикации и источника, где она опубликована, выходные данные</w:t>
            </w:r>
          </w:p>
          <w:p w:rsidR="00780F10" w:rsidRPr="00780F10" w:rsidRDefault="00780F10" w:rsidP="00780F1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ФИО, название публикации и источника на английском</w:t>
            </w:r>
          </w:p>
        </w:tc>
        <w:tc>
          <w:tcPr>
            <w:tcW w:w="1837" w:type="dxa"/>
          </w:tcPr>
          <w:p w:rsidR="00780F10" w:rsidRPr="00780F10" w:rsidRDefault="00780F10" w:rsidP="00780F1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Полный интернет-адрес (URL) цитируемой статьи или ее </w:t>
            </w:r>
            <w:proofErr w:type="spellStart"/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780F1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E03B5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3686" w:type="dxa"/>
          </w:tcPr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И.Б. Бе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ляева, С.В. Лапин, А.В. Созина,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В.И. Мазуров, А.А. Тотолян, “Антитела к цитруллин- содержащим антигенам в диагностике и прогнозировании течения раннего ревматоидного артрита,” </w:t>
            </w:r>
          </w:p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</w:rPr>
              <w:t>Медицинская Иммунология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, 2007, vol. 9, no. 1, pp. 77–84.</w:t>
            </w:r>
          </w:p>
          <w:p w:rsidR="00331CC4" w:rsidRPr="006D237F" w:rsidRDefault="00331CC4" w:rsidP="00331C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331CC4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Belyaeva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I.B.,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Sozina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A.V., Lapin S.V.,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Areg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 AUTOANTIBODIES TO CIRTULLINATED ANTIGENS FOR DIAGNOSIS AND PREDICTION OF CLINICAL COURSE IN EARLY RHEUMATOID ARTHRITIS.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Medical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Immunology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Russia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). 2007;9(1):77-84. (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Russ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.) </w:t>
            </w:r>
          </w:p>
        </w:tc>
        <w:tc>
          <w:tcPr>
            <w:tcW w:w="1837" w:type="dxa"/>
          </w:tcPr>
          <w:p w:rsidR="00331CC4" w:rsidRPr="006D237F" w:rsidRDefault="00841D30" w:rsidP="00780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</w:rPr>
              <w:t>DOI:10.15789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</w:rPr>
              <w:t>/1563-0625-2007-1-77-84</w:t>
            </w:r>
          </w:p>
        </w:tc>
      </w:tr>
      <w:tr w:rsidR="00331CC4" w:rsidRPr="006D237F" w:rsidTr="006D237F">
        <w:trPr>
          <w:trHeight w:val="70"/>
        </w:trPr>
        <w:tc>
          <w:tcPr>
            <w:tcW w:w="1271" w:type="dxa"/>
          </w:tcPr>
          <w:p w:rsidR="00331CC4" w:rsidRPr="006D237F" w:rsidRDefault="00331CC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E03B54" w:rsidRPr="006D237F" w:rsidRDefault="00E03B54" w:rsidP="006D237F">
            <w:pPr>
              <w:widowControl w:val="0"/>
              <w:autoSpaceDE w:val="0"/>
              <w:autoSpaceDN w:val="0"/>
              <w:adjustRightInd w:val="0"/>
              <w:ind w:hanging="39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Лапин С.В., Маслянский А.Л., Иливанова Е.П., Мазуров В.И., Тотолян А.А. КЛИНИЧЕСКОЕ ЗНАЧЕНИЕ АНТИТЕЛ К ЦИКЛИЧЕСКОМУ ЦИТРУЛЛИНИРОВАННОМУ ПЕПТИДУ ПРИ РАННЕМ РЕВМАТОИДНОМ АРТРИТЕ Медицинская иммунология. 2004. Т. 6. № 1-2. С. 57-66</w:t>
            </w:r>
          </w:p>
          <w:p w:rsidR="00331CC4" w:rsidRPr="006D237F" w:rsidRDefault="00331CC4" w:rsidP="006D23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41D30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Lapin S. V.,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Maslyanski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A.L.,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Ilivanova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E.P.,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A.A.</w:t>
            </w:r>
          </w:p>
          <w:p w:rsidR="00841D30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CLINICAL SIGNIFICANCE OF ANTI1CYCLIC CITRULLINATED PEPTIDE (CCP)</w:t>
            </w:r>
          </w:p>
          <w:p w:rsidR="00331CC4" w:rsidRPr="006D237F" w:rsidRDefault="00841D30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ANTIBODIES IN PATIENTS </w:t>
            </w:r>
            <w:r w:rsidR="007205F1"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WITH EARLY RHEUMATOID ARTHRITIS </w:t>
            </w:r>
            <w:proofErr w:type="spellStart"/>
            <w:r w:rsidR="007205F1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Med.Immunol</w:t>
            </w:r>
            <w:proofErr w:type="spellEnd"/>
            <w:r w:rsidR="007205F1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2004, vol.6, № 1-2, pp 57-66</w:t>
            </w:r>
          </w:p>
        </w:tc>
        <w:tc>
          <w:tcPr>
            <w:tcW w:w="1837" w:type="dxa"/>
          </w:tcPr>
          <w:p w:rsidR="00331CC4" w:rsidRPr="006D237F" w:rsidRDefault="007205F1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https://cyberleninka.ru/article/n/klinicheskoe-znachenie-antitel-k-tsiklicheskomu-tsitrullinirovannomu-peptidu-pri-rannem-revmatoidnom-artrite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331CC4" w:rsidP="00331CC4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03B54" w:rsidRPr="006D237F" w:rsidRDefault="00E03B54" w:rsidP="006D237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Маслянский А.Л., Лапин С.В., Иливанова Е.Л., Мазуров В.И., Тотолян А.А. АНТИКЕРАТИНОВЫЕ АНТИТЕЛА И АНТИПЕРИНУКЛЕАРНЫЙ ФАКТОР ЯВЛЯЮТСЯ МАРКЕРОМ АГРЕССИВНОГО ТЕЧЕНИЯ РЕВМАТОИДНОГО АРТРИТА </w:t>
            </w:r>
          </w:p>
          <w:p w:rsidR="00E03B54" w:rsidRPr="006D237F" w:rsidRDefault="00E03B54" w:rsidP="006D237F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331CC4" w:rsidRPr="006D237F" w:rsidRDefault="00E03B54" w:rsidP="006D2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</w:rPr>
              <w:t>Медицинская иммунология. 2003. Т. 5. № 5-6. С. 599-608.</w:t>
            </w:r>
          </w:p>
        </w:tc>
        <w:tc>
          <w:tcPr>
            <w:tcW w:w="2551" w:type="dxa"/>
          </w:tcPr>
          <w:p w:rsidR="006D237F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Maslyanski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A.L., </w:t>
            </w: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Lapin S. V.</w:t>
            </w:r>
            <w:proofErr w:type="gram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,</w:t>
            </w:r>
            <w:proofErr w:type="gram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Ilivanova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E.P.,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Mazurov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V.I., </w:t>
            </w:r>
            <w:proofErr w:type="spellStart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Totolian</w:t>
            </w:r>
            <w:proofErr w:type="spellEnd"/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A.A.</w:t>
            </w:r>
          </w:p>
          <w:p w:rsidR="00331CC4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ANTIKERATIN ANTIBODIES AND ANTIPERINUCLEAR FACTOR ARE MARKERS OF AGGRESSIVE RHEUMATOID ARTHRITIS</w:t>
            </w:r>
          </w:p>
          <w:p w:rsidR="006D237F" w:rsidRPr="006D237F" w:rsidRDefault="006D237F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Med.Immunol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2003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5, № 5-6, pp 599-608</w:t>
            </w: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https://cyberleninka.ru/article/n/antikeratinovye-antitela-i-antiperinuklearnyy-faktor-yavlyayutsya-markerom-agressivnogo-techeniya-revmatoidnogo-artrita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331CC4" w:rsidP="006D237F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331CC4" w:rsidRPr="006D237F" w:rsidRDefault="00E03B54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Ajeganova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“Disease Factors in Early Rheumatoid Arthritis Are Associated with Differential Risks for Cardiovascular Events and Mortality Depending on Age at Onset : A 10-year Observational Cohort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Study,”J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40, no. 12, pp. 1958–1966, 2013.</w:t>
            </w:r>
          </w:p>
        </w:tc>
        <w:tc>
          <w:tcPr>
            <w:tcW w:w="2551" w:type="dxa"/>
          </w:tcPr>
          <w:p w:rsidR="00331CC4" w:rsidRPr="006D237F" w:rsidRDefault="00331CC4" w:rsidP="006D237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10.3899/jrheum.130365</w:t>
            </w:r>
          </w:p>
        </w:tc>
      </w:tr>
      <w:tr w:rsidR="00331CC4" w:rsidRPr="006D237F" w:rsidTr="00DD459E">
        <w:tc>
          <w:tcPr>
            <w:tcW w:w="1271" w:type="dxa"/>
          </w:tcPr>
          <w:p w:rsidR="00331CC4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3686" w:type="dxa"/>
          </w:tcPr>
          <w:p w:rsidR="00331CC4" w:rsidRPr="006D237F" w:rsidRDefault="00E03B54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M. Bukhari </w:t>
            </w: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et al.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, “The performance of anti-cyclic citrullinated peptide antibodies in predicting the severity of radiologic damage in inflammatory polyarthritis: Results from the Norfolk Arthritis Register,” </w:t>
            </w: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Arthritis Rheum.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vol. 56, no. 9, pp. 2929–2935, 2007</w:t>
            </w:r>
          </w:p>
        </w:tc>
        <w:tc>
          <w:tcPr>
            <w:tcW w:w="2551" w:type="dxa"/>
          </w:tcPr>
          <w:p w:rsidR="00331CC4" w:rsidRPr="006D237F" w:rsidRDefault="00331CC4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31CC4" w:rsidRPr="006D237F" w:rsidRDefault="006D237F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10.1002/art.22868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:rsidR="00723EAB" w:rsidRPr="006D237F" w:rsidRDefault="00E03B54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H. Chan, Y. N. Lin, G. B. Wee, W. H.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Koh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M.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Boey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“HLA class 2 genes in Singaporean Chinese rheumatoid arthritis,” Br J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33, no. 8, pp. 713–717, 1994.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8055196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3686" w:type="dxa"/>
          </w:tcPr>
          <w:p w:rsidR="00723EAB" w:rsidRPr="006D237F" w:rsidRDefault="00E03B54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F. A. Van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Gaalen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“Association between HLA class II genes and autoantibodies to cyclic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peptides (CCPs) influences the severity of rheumatoid arthritis,” Arthritis Rheum., vol. 50, no. 7, pp. 2113–2121, 2004.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10.1002/art.20316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6D237F" w:rsidRDefault="00723EA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8. </w:t>
            </w:r>
          </w:p>
        </w:tc>
        <w:tc>
          <w:tcPr>
            <w:tcW w:w="3686" w:type="dxa"/>
          </w:tcPr>
          <w:p w:rsidR="00723EAB" w:rsidRPr="006D237F" w:rsidRDefault="00E03B54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K.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Gregersen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J. Silver,  R. J. Winchester, “The Shared Epitope Hypothesis,” Arthritis Rheum., 1987,</w:t>
            </w:r>
            <w:r w:rsid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vol. 30, no. 11, pp. 1205–1212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PMID: 2446635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H. M. van der Helm-van Mil, K. N.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Verpoort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F. C.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Breedveld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R. E. M. Toes, and T. W. J. Huizinga, “Antibodies to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proteins and differences in clinical progression of rheumatoid arthritis.,” Arthritis Res.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7, no. 5, pp. R949-58, 2005.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10.1186/ar1767</w:t>
            </w:r>
          </w:p>
        </w:tc>
      </w:tr>
      <w:tr w:rsidR="00723EAB" w:rsidRPr="006D237F" w:rsidTr="00DD459E">
        <w:tc>
          <w:tcPr>
            <w:tcW w:w="1271" w:type="dxa"/>
          </w:tcPr>
          <w:p w:rsidR="00723EA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</w:t>
            </w:r>
          </w:p>
        </w:tc>
        <w:tc>
          <w:tcPr>
            <w:tcW w:w="3686" w:type="dxa"/>
          </w:tcPr>
          <w:p w:rsidR="00723EA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T. W. J. Huizinga et al., “Refining the complex rheumatoid arthritis phenotype based on specificity of the HLA-DRB1 shared epitope for antibodies to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proteins,” Arthritis Rheum., vol. 52, no. 11, pp. 3433–3438, 2005.</w:t>
            </w:r>
          </w:p>
        </w:tc>
        <w:tc>
          <w:tcPr>
            <w:tcW w:w="2551" w:type="dxa"/>
          </w:tcPr>
          <w:p w:rsidR="00723EAB" w:rsidRPr="006D237F" w:rsidRDefault="00723EA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723EA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10.1002/art.21385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11. 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“A new model for an etiology of rheumatoid arthritis: Smoking may trigger HLA-DR (shared epitope)-restricted immune reactions to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autoantigens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modified by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citrullination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,” Arthritis Rheum., vol. 54, no. 1, pp. 38–46, 2006.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http://onlinelibrary.wiley.com/doi/10.1002/art.21575/full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12.  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 xml:space="preserve">H. S. Lee, K. W. Lee, G. G. Song, H. A. Kim, S. Y. Kim, and S. C. Bae, “Increased 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lastRenderedPageBreak/>
              <w:t xml:space="preserve">susceptibility to rheumatoid arthritis in koreans heterozygous for HLA-DRB1*0405 and *0901,” </w:t>
            </w:r>
            <w:r w:rsidRPr="006D237F">
              <w:rPr>
                <w:rFonts w:ascii="Times New Roman" w:hAnsi="Times New Roman" w:cs="Times New Roman"/>
                <w:i/>
                <w:iCs/>
                <w:noProof/>
                <w:sz w:val="28"/>
                <w:szCs w:val="28"/>
                <w:lang w:val="en-US"/>
              </w:rPr>
              <w:t>Arthritis Rheum.</w:t>
            </w:r>
            <w:r w:rsidRPr="006D237F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, vol. 50, no. 11, pp. 3468–3475, 2004.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10.1002/art.20608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L. Lin, Y. Chen, Z. Xiao, S. Huang, and Z. Yang, “The association of HLA-DRB1 alleles with rheumatoid arthritis in the Chinese Shantou population: a follow-up study,”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Biochem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Cell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85, no. 2, pp. 227–238, 2007.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6D237F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10.1139/o06-204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14.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C. Liu,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Chang TY, Lee YJ, Chu CC, Lin M, Chen ZX, Liu HF, Dang CW, Chang SC, Lee CS, Chen TL, Huang CH.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“Influence of HLA-DRB1 genes and the shared epitope on genetic susceptibility to rheumatoid arthritis in Taiwanese,” J.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34, no. 4, pp. 674–680, 2007.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https://www.ncbi.nlm.nih.gov/pubmed/17309132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Louzada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-Junior,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.V.C. Freitas1, R.D.R. Oliveira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N.H.S. Degha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ide1, R.A. Conde2, M.B.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Bertolo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E.A. </w:t>
            </w: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Donadi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“A majority of Brazilian patients with rheumatoid arthritis HLA-DRB1 alleles carry both the HLA-DRB1 shared epitope and anti-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citrunillated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 antibodies,” Brazilian J. Med. Biol. Res., vol. 41, no. 6, pp. 493–499, 2008.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http://www.scielo.br/scielo.php?script=sci_arttext&amp;pid=S0100-879X2008000600010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16. </w:t>
            </w:r>
          </w:p>
        </w:tc>
        <w:tc>
          <w:tcPr>
            <w:tcW w:w="3686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I. B.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McInnes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</w:t>
            </w:r>
            <w:proofErr w:type="spellStart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Schett</w:t>
            </w:r>
            <w:proofErr w:type="spellEnd"/>
            <w:r w:rsidR="0028652B"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“The Pathogenesis of Rheumatoid Arthritis,” N. Engl. J. Med., vol. 365, no. 23, pp. 2205–2219, 2011.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10.1056/NEJMra1004965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17. </w:t>
            </w:r>
          </w:p>
        </w:tc>
        <w:tc>
          <w:tcPr>
            <w:tcW w:w="3686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Y. Okada et al., “Risk for ACPA-positive rheumatoid arthritis is driven by shared HLA amino acid polymorphisms in Asian and European populations,” Hum. Mol. Genet., vol. 23, no. 25, pp. 6916–6926, 2014.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10.1093/</w:t>
            </w: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hmg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/ddu387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18. </w:t>
            </w:r>
          </w:p>
        </w:tc>
        <w:tc>
          <w:tcPr>
            <w:tcW w:w="3686" w:type="dxa"/>
          </w:tcPr>
          <w:p w:rsidR="0028652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Padyukov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 Suva, 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Alfredsson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L.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Klareskog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“A gene-environment interaction between smoking and shared epitope genes in HLA-DR provides a high risk of seropositive rheumatoid arthritis,” Arthritis Rheum., vol. 50, no. 10, pp. 3085–3092, 2004.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10.1002/art.20553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19. </w:t>
            </w:r>
          </w:p>
        </w:tc>
        <w:tc>
          <w:tcPr>
            <w:tcW w:w="3686" w:type="dxa"/>
          </w:tcPr>
          <w:p w:rsidR="0028652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Pursglove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J. Murray, and S. Smyth, “Intermediate Russian: A Grammar and Workbook,” Mod. Lang. Rev., vol. 97, no. 2, p. 509, 2002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http://chamicoursderusse.zohosites.com/files/THEMESIntermediate%20Russian%20a%20Grammar%20and%20Workbook.pdf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20. </w:t>
            </w:r>
          </w:p>
        </w:tc>
        <w:tc>
          <w:tcPr>
            <w:tcW w:w="3686" w:type="dxa"/>
          </w:tcPr>
          <w:p w:rsidR="0028652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Reviron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“Influence of shared epitope-negative HLA-DRB1 alleles on genetic susceptibility to rheumatoid arthritis,” Arthritis Rheum., vol. 44, no. 3, pp. 535–540, 2001.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10.1002/art.23433</w:t>
            </w:r>
          </w:p>
        </w:tc>
      </w:tr>
      <w:tr w:rsidR="0028652B" w:rsidRPr="006D237F" w:rsidTr="00DD459E">
        <w:tc>
          <w:tcPr>
            <w:tcW w:w="1271" w:type="dxa"/>
          </w:tcPr>
          <w:p w:rsidR="0028652B" w:rsidRPr="006D237F" w:rsidRDefault="0028652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21. </w:t>
            </w:r>
          </w:p>
        </w:tc>
        <w:tc>
          <w:tcPr>
            <w:tcW w:w="3686" w:type="dxa"/>
          </w:tcPr>
          <w:p w:rsidR="0028652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W.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Scally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“A molecular basis for the association of the HLA-DRB1 locus,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citrullination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rheumatoid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J. Exp. Med., vol. 210, no. 12, pp. 2569–82, 2013.</w:t>
            </w:r>
          </w:p>
        </w:tc>
        <w:tc>
          <w:tcPr>
            <w:tcW w:w="2551" w:type="dxa"/>
          </w:tcPr>
          <w:p w:rsidR="0028652B" w:rsidRPr="006D237F" w:rsidRDefault="0028652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28652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10.1084/jem.20131241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22.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G. A.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Schellekens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B. A. W. De Jong, F. H. J. Van Den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Hoogen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L. B. A. Van De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Putte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and W. J. Van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Venrooij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is an essential constituent of antigenic determinants recognized by rheumatoid arthritis-specific autoantibodies,”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Clin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Invest.,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1998, vol. 101, no. 1, pp. 273–281.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 10.1172/JCI1316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Stastny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“Association of the B-cell alloantigen DRw4 with rheumatoid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N. Engl. J. Med., vol. 298, no. 16, pp. 869–871, 1978.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10.1056/NEJM197804202981602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Silman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J. E. Pearson, “Epidemiology and genetics of rheumatoid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arthritis.,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Arthritis Res., 2002, vol. 4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pp. S265-72.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https://arthritis-research.biomedcentral.com/articles/10.1186/ar578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Stolt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“Silica exposure among male current smokers is associated with a high risk of developing ACPA-positive rheumatoid arthritis,” Ann Rheum Dis, vol. 69, no. 6, pp. 1072–1076, 2010.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10.1136/ard.2009.114694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C. L. Too et al., “Occupational exposure to textile dust increases the risk of rheumatoid arthritis: results from a Malaysian population-based case-control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 Ann. Rheum. Dis., pp. 1–6, 2015.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</w:t>
            </w:r>
            <w:proofErr w:type="spellEnd"/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10.1136/annrheumdis-2015-208278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Viatte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A. Barton, “The role of rheumatoid arthritis genetic susceptibility markers in the prediction of erosive disease,” Eur.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Musculoskelet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Rev., vol. 7, no. 2, pp. 102–107, 2012.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https://www.ncbi.nlm.nih.gov/m/pubmed/20219786/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28.</w:t>
            </w:r>
          </w:p>
        </w:tc>
        <w:tc>
          <w:tcPr>
            <w:tcW w:w="3686" w:type="dxa"/>
          </w:tcPr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Waaler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“ON THE OCCURRENCE OF A FACTOR IN HUMAN SERUM ACTIVATING THE SPECIFIC AGGLUTINATION OF SHEEP BLOOD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CORPUSCLES.,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Pathol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Microbiol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Scand., 1940, vol. 17, no. 2, pp. 172–188.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3C7112" w:rsidRPr="003C7112" w:rsidRDefault="003C7112" w:rsidP="003C71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10.1111/j.1600-0463.2007.apm_682a.x</w:t>
            </w:r>
          </w:p>
          <w:p w:rsidR="004D3D4B" w:rsidRPr="006D237F" w:rsidRDefault="004D3D4B" w:rsidP="003C711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</w:t>
            </w:r>
          </w:p>
        </w:tc>
        <w:tc>
          <w:tcPr>
            <w:tcW w:w="3686" w:type="dxa"/>
          </w:tcPr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Wakitani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K.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Imoto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N. Murata, H. Oonishi, T. Ochi, and M.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Yoneda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“An association between the natural course of shoulder joint destruction in rheumatoid arthritis and HLA-DRB1*0405 in Japanese patients,”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Scand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J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vol. 27, no. 2, pp. 146–148, 1998.</w:t>
            </w:r>
          </w:p>
          <w:p w:rsidR="004D3D4B" w:rsidRPr="006D237F" w:rsidRDefault="004D3D4B" w:rsidP="004D3D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https://www.ncbi.nlm.nih.gov/pubmed/9572642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30.</w:t>
            </w:r>
          </w:p>
        </w:tc>
        <w:tc>
          <w:tcPr>
            <w:tcW w:w="3686" w:type="dxa"/>
          </w:tcPr>
          <w:p w:rsidR="004D3D4B" w:rsidRPr="006D237F" w:rsidRDefault="004D3D4B" w:rsidP="006D23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R. F.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Willkens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G. T.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Nepom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C. R. Marks, J. W. Nettles, and A. S.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Nepom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“Association of HLA–Dw16 with rheumatoid arthritis in Yakima Indians. Further evidence for the ‘shared epitope’ hypothesis,” Arthritis Rheum., vol. 34, no. 1, pp. 43–47, 1991.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https://www.ncbi.nlm.nih.gov/pubmed/1701997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D. Van Der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Woude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et al., “Protection against anti-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 antibody-positive rheumatoid arthritis is predominantly associated with HLA-DRB1*1301: A meta-analysis of HLA-DRB1 associations with anti-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protein antibody-positive and anti-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 ,</w:t>
            </w:r>
            <w:proofErr w:type="gram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Arthritis Rheum., </w:t>
            </w: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vol. 62, no. 5, pp. 1236–1245, 2010.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10.1002/art.27366</w:t>
            </w:r>
          </w:p>
        </w:tc>
      </w:tr>
      <w:tr w:rsidR="004D3D4B" w:rsidRPr="006D237F" w:rsidTr="00DD459E">
        <w:tc>
          <w:tcPr>
            <w:tcW w:w="1271" w:type="dxa"/>
          </w:tcPr>
          <w:p w:rsidR="004D3D4B" w:rsidRPr="006D237F" w:rsidRDefault="004D3D4B" w:rsidP="006D237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32.</w:t>
            </w:r>
          </w:p>
        </w:tc>
        <w:tc>
          <w:tcPr>
            <w:tcW w:w="3686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Xue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J. Zhang, Y. M. Chen, M. Guan, S. G. Zheng, and H.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Zou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“The HLA-DRB1 shared epitope is not associated with antibodies against cyclic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citrullinated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peptide in Chinese patients with rheumatoid arthritis,” Scand. J. </w:t>
            </w:r>
            <w:proofErr w:type="spellStart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Rheumatol</w:t>
            </w:r>
            <w:proofErr w:type="spellEnd"/>
            <w:r w:rsidRPr="006D23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vol. 37, no. 3, pp. 183–187, 2008.</w:t>
            </w:r>
          </w:p>
        </w:tc>
        <w:tc>
          <w:tcPr>
            <w:tcW w:w="2551" w:type="dxa"/>
          </w:tcPr>
          <w:p w:rsidR="004D3D4B" w:rsidRPr="006D237F" w:rsidRDefault="004D3D4B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</w:tcPr>
          <w:p w:rsidR="004D3D4B" w:rsidRPr="006D237F" w:rsidRDefault="003C7112" w:rsidP="00331C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C7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DOI: 10.1080/03009740701874444</w:t>
            </w:r>
          </w:p>
        </w:tc>
      </w:tr>
    </w:tbl>
    <w:p w:rsidR="000B12D7" w:rsidRPr="006D237F" w:rsidRDefault="000B12D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0B12D7" w:rsidRPr="006D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FB52EE"/>
    <w:multiLevelType w:val="hybridMultilevel"/>
    <w:tmpl w:val="14A4550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F7"/>
    <w:rsid w:val="000B12D7"/>
    <w:rsid w:val="001C47F7"/>
    <w:rsid w:val="002152D8"/>
    <w:rsid w:val="0028652B"/>
    <w:rsid w:val="00331CC4"/>
    <w:rsid w:val="003C7112"/>
    <w:rsid w:val="004A413E"/>
    <w:rsid w:val="004D3D4B"/>
    <w:rsid w:val="006D237F"/>
    <w:rsid w:val="007173B1"/>
    <w:rsid w:val="007205F1"/>
    <w:rsid w:val="00723EAB"/>
    <w:rsid w:val="00780F10"/>
    <w:rsid w:val="007F436A"/>
    <w:rsid w:val="00841D30"/>
    <w:rsid w:val="00876DE0"/>
    <w:rsid w:val="008B3B29"/>
    <w:rsid w:val="00903416"/>
    <w:rsid w:val="00D72E6D"/>
    <w:rsid w:val="00D812D7"/>
    <w:rsid w:val="00D827D0"/>
    <w:rsid w:val="00DD459E"/>
    <w:rsid w:val="00DE4420"/>
    <w:rsid w:val="00E03B54"/>
    <w:rsid w:val="00F70B80"/>
    <w:rsid w:val="00FD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8F5BB-7EFC-4313-B00D-054D8400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80F10"/>
    <w:rPr>
      <w:b/>
      <w:bCs/>
    </w:rPr>
  </w:style>
  <w:style w:type="character" w:customStyle="1" w:styleId="apple-converted-space">
    <w:name w:val="apple-converted-space"/>
    <w:basedOn w:val="a0"/>
    <w:rsid w:val="00780F10"/>
  </w:style>
  <w:style w:type="character" w:styleId="a5">
    <w:name w:val="Hyperlink"/>
    <w:rsid w:val="00780F10"/>
    <w:rPr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B3B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3B2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31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1348</Words>
  <Characters>8254</Characters>
  <Application>Microsoft Office Word</Application>
  <DocSecurity>0</DocSecurity>
  <Lines>117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2018-03-11T15:40:00Z</cp:lastPrinted>
  <dcterms:created xsi:type="dcterms:W3CDTF">2018-03-11T17:10:00Z</dcterms:created>
  <dcterms:modified xsi:type="dcterms:W3CDTF">2018-03-11T17:10:00Z</dcterms:modified>
</cp:coreProperties>
</file>