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1"/>
        <w:tblW w:w="14737" w:type="dxa"/>
        <w:tblLayout w:type="fixed"/>
        <w:tblLook w:val="04A0" w:firstRow="1" w:lastRow="0" w:firstColumn="1" w:lastColumn="0" w:noHBand="0" w:noVBand="1"/>
      </w:tblPr>
      <w:tblGrid>
        <w:gridCol w:w="509"/>
        <w:gridCol w:w="5015"/>
        <w:gridCol w:w="5103"/>
        <w:gridCol w:w="4110"/>
      </w:tblGrid>
      <w:tr w:rsidR="00A27650" w:rsidRPr="00EA712B" w14:paraId="41E0B6C0" w14:textId="77777777" w:rsidTr="002B7DAA">
        <w:tc>
          <w:tcPr>
            <w:tcW w:w="509" w:type="dxa"/>
          </w:tcPr>
          <w:p w14:paraId="3686F8C3" w14:textId="77777777" w:rsidR="00A27650" w:rsidRPr="00EA712B" w:rsidRDefault="00A27650" w:rsidP="00DA4B9E">
            <w:pPr>
              <w:spacing w:after="200"/>
              <w:rPr>
                <w:rFonts w:ascii="Times New Roman" w:eastAsia="Calibri" w:hAnsi="Times New Roman" w:cs="Times New Roman"/>
                <w:sz w:val="28"/>
                <w:szCs w:val="28"/>
              </w:rPr>
            </w:pPr>
          </w:p>
        </w:tc>
        <w:tc>
          <w:tcPr>
            <w:tcW w:w="5015" w:type="dxa"/>
          </w:tcPr>
          <w:p w14:paraId="73021146" w14:textId="77777777" w:rsidR="00A27650" w:rsidRPr="00EA712B" w:rsidRDefault="00A27650" w:rsidP="00DA4B9E">
            <w:pPr>
              <w:tabs>
                <w:tab w:val="left" w:pos="426"/>
              </w:tabs>
              <w:spacing w:after="200"/>
              <w:contextualSpacing/>
              <w:jc w:val="both"/>
              <w:rPr>
                <w:rFonts w:ascii="Times New Roman" w:eastAsia="Calibri" w:hAnsi="Times New Roman" w:cs="Times New Roman"/>
                <w:sz w:val="28"/>
                <w:szCs w:val="28"/>
              </w:rPr>
            </w:pPr>
            <w:r w:rsidRPr="00EA712B">
              <w:rPr>
                <w:rFonts w:ascii="Times New Roman" w:eastAsia="Calibri" w:hAnsi="Times New Roman" w:cs="Times New Roman"/>
                <w:sz w:val="28"/>
                <w:szCs w:val="28"/>
              </w:rPr>
              <w:t>Авторы, название публикации и источника, где она опубликована, выходные данные</w:t>
            </w:r>
          </w:p>
          <w:p w14:paraId="315DB2BA" w14:textId="77777777" w:rsidR="00A27650" w:rsidRPr="00EA712B" w:rsidRDefault="00A27650" w:rsidP="00DA4B9E">
            <w:pPr>
              <w:spacing w:after="200"/>
              <w:rPr>
                <w:rFonts w:ascii="Times New Roman" w:eastAsia="Calibri" w:hAnsi="Times New Roman" w:cs="Times New Roman"/>
                <w:sz w:val="28"/>
                <w:szCs w:val="28"/>
              </w:rPr>
            </w:pPr>
          </w:p>
        </w:tc>
        <w:tc>
          <w:tcPr>
            <w:tcW w:w="5103" w:type="dxa"/>
          </w:tcPr>
          <w:p w14:paraId="729E4CA1" w14:textId="77777777" w:rsidR="00A27650" w:rsidRPr="00EA712B" w:rsidRDefault="00A27650" w:rsidP="00DA4B9E">
            <w:pPr>
              <w:tabs>
                <w:tab w:val="left" w:pos="426"/>
              </w:tabs>
              <w:spacing w:after="200"/>
              <w:contextualSpacing/>
              <w:jc w:val="both"/>
              <w:rPr>
                <w:rFonts w:ascii="Times New Roman" w:eastAsia="Calibri" w:hAnsi="Times New Roman" w:cs="Times New Roman"/>
                <w:sz w:val="28"/>
                <w:szCs w:val="28"/>
              </w:rPr>
            </w:pPr>
            <w:r w:rsidRPr="00EA712B">
              <w:rPr>
                <w:rFonts w:ascii="Times New Roman" w:eastAsia="Calibri" w:hAnsi="Times New Roman" w:cs="Times New Roman"/>
                <w:sz w:val="28"/>
                <w:szCs w:val="28"/>
              </w:rPr>
              <w:t>ФИО, название публикации и источника на английском</w:t>
            </w:r>
          </w:p>
          <w:p w14:paraId="3DEEAC22" w14:textId="77777777" w:rsidR="00A27650" w:rsidRPr="00EA712B" w:rsidRDefault="00A27650" w:rsidP="00DA4B9E">
            <w:pPr>
              <w:spacing w:after="200"/>
              <w:rPr>
                <w:rFonts w:ascii="Times New Roman" w:eastAsia="Calibri" w:hAnsi="Times New Roman" w:cs="Times New Roman"/>
                <w:sz w:val="28"/>
                <w:szCs w:val="28"/>
              </w:rPr>
            </w:pPr>
          </w:p>
        </w:tc>
        <w:tc>
          <w:tcPr>
            <w:tcW w:w="4110" w:type="dxa"/>
          </w:tcPr>
          <w:p w14:paraId="084E60B5" w14:textId="77777777" w:rsidR="00A27650" w:rsidRPr="00EA712B" w:rsidRDefault="00A27650" w:rsidP="00DA4B9E">
            <w:pPr>
              <w:spacing w:after="200"/>
              <w:rPr>
                <w:rFonts w:ascii="Times New Roman" w:eastAsia="Calibri" w:hAnsi="Times New Roman" w:cs="Times New Roman"/>
                <w:sz w:val="28"/>
                <w:szCs w:val="28"/>
              </w:rPr>
            </w:pPr>
            <w:r w:rsidRPr="00EA712B">
              <w:rPr>
                <w:rFonts w:ascii="Times New Roman" w:eastAsia="Calibri" w:hAnsi="Times New Roman" w:cs="Times New Roman"/>
                <w:sz w:val="28"/>
                <w:szCs w:val="28"/>
              </w:rPr>
              <w:t>Полный интернет-адрес (</w:t>
            </w:r>
            <w:r w:rsidRPr="00EA712B">
              <w:rPr>
                <w:rFonts w:ascii="Times New Roman" w:eastAsia="Calibri" w:hAnsi="Times New Roman" w:cs="Times New Roman"/>
                <w:sz w:val="28"/>
                <w:szCs w:val="28"/>
                <w:lang w:val="en-US"/>
              </w:rPr>
              <w:t>URL</w:t>
            </w:r>
            <w:r w:rsidRPr="00EA712B">
              <w:rPr>
                <w:rFonts w:ascii="Times New Roman" w:eastAsia="Calibri" w:hAnsi="Times New Roman" w:cs="Times New Roman"/>
                <w:sz w:val="28"/>
                <w:szCs w:val="28"/>
              </w:rPr>
              <w:t xml:space="preserve">) цитируемой статьи или ее </w:t>
            </w:r>
            <w:proofErr w:type="spellStart"/>
            <w:r w:rsidRPr="00EA712B">
              <w:rPr>
                <w:rFonts w:ascii="Times New Roman" w:eastAsia="Calibri" w:hAnsi="Times New Roman" w:cs="Times New Roman"/>
                <w:sz w:val="28"/>
                <w:szCs w:val="28"/>
                <w:lang w:val="en-US"/>
              </w:rPr>
              <w:t>doi</w:t>
            </w:r>
            <w:proofErr w:type="spellEnd"/>
            <w:r w:rsidRPr="00EA712B">
              <w:rPr>
                <w:rFonts w:ascii="Times New Roman" w:eastAsia="Calibri" w:hAnsi="Times New Roman" w:cs="Times New Roman"/>
                <w:sz w:val="28"/>
                <w:szCs w:val="28"/>
              </w:rPr>
              <w:t>.</w:t>
            </w:r>
          </w:p>
        </w:tc>
      </w:tr>
      <w:tr w:rsidR="00951544" w:rsidRPr="00EA712B" w14:paraId="22B2CC9C" w14:textId="77777777" w:rsidTr="002B7DAA">
        <w:tc>
          <w:tcPr>
            <w:tcW w:w="509" w:type="dxa"/>
          </w:tcPr>
          <w:p w14:paraId="1BD23A4D" w14:textId="14D3B685" w:rsidR="00951544" w:rsidRPr="00EA712B" w:rsidRDefault="00951544" w:rsidP="00951544">
            <w:pPr>
              <w:spacing w:after="200"/>
              <w:rPr>
                <w:rFonts w:ascii="Times New Roman" w:eastAsia="Calibri" w:hAnsi="Times New Roman" w:cs="Times New Roman"/>
                <w:sz w:val="28"/>
                <w:szCs w:val="28"/>
              </w:rPr>
            </w:pPr>
            <w:r w:rsidRPr="00EA712B">
              <w:rPr>
                <w:rFonts w:ascii="Times New Roman" w:eastAsia="Calibri" w:hAnsi="Times New Roman" w:cs="Times New Roman"/>
                <w:sz w:val="28"/>
                <w:szCs w:val="28"/>
              </w:rPr>
              <w:t>1</w:t>
            </w:r>
          </w:p>
        </w:tc>
        <w:tc>
          <w:tcPr>
            <w:tcW w:w="5015" w:type="dxa"/>
          </w:tcPr>
          <w:p w14:paraId="6B1353CB" w14:textId="01CA32E9" w:rsidR="00951544" w:rsidRPr="00EA712B" w:rsidRDefault="00951544" w:rsidP="00951544">
            <w:pPr>
              <w:tabs>
                <w:tab w:val="left" w:pos="426"/>
              </w:tabs>
              <w:spacing w:after="200"/>
              <w:contextualSpacing/>
              <w:jc w:val="both"/>
              <w:rPr>
                <w:rFonts w:ascii="Times New Roman" w:eastAsia="Calibri" w:hAnsi="Times New Roman" w:cs="Times New Roman"/>
                <w:sz w:val="28"/>
                <w:szCs w:val="28"/>
              </w:rPr>
            </w:pPr>
            <w:r w:rsidRPr="00EA712B">
              <w:rPr>
                <w:rFonts w:ascii="Times New Roman" w:eastAsia="Calibri" w:hAnsi="Times New Roman" w:cs="Times New Roman"/>
                <w:sz w:val="28"/>
                <w:szCs w:val="28"/>
              </w:rPr>
              <w:t>Хаитов Р.М., Пинегин Б.В., Ярилин А.А. Руководство по клинической иммунологии. Диагностика заболеваний иммунной системы: руководство для врачей.</w:t>
            </w:r>
            <w:r w:rsidR="00995095" w:rsidRPr="00EA712B">
              <w:rPr>
                <w:rFonts w:ascii="Times New Roman" w:eastAsia="Calibri" w:hAnsi="Times New Roman" w:cs="Times New Roman"/>
                <w:sz w:val="28"/>
                <w:szCs w:val="28"/>
              </w:rPr>
              <w:t xml:space="preserve"> </w:t>
            </w:r>
            <w:r w:rsidR="003C384B" w:rsidRPr="00EA712B">
              <w:rPr>
                <w:rFonts w:ascii="Times New Roman" w:eastAsia="Calibri" w:hAnsi="Times New Roman" w:cs="Times New Roman"/>
                <w:sz w:val="28"/>
                <w:szCs w:val="28"/>
              </w:rPr>
              <w:t>–</w:t>
            </w:r>
            <w:r w:rsidR="00995095" w:rsidRPr="00EA712B">
              <w:rPr>
                <w:rFonts w:ascii="Times New Roman" w:eastAsia="Calibri" w:hAnsi="Times New Roman" w:cs="Times New Roman"/>
                <w:sz w:val="28"/>
                <w:szCs w:val="28"/>
              </w:rPr>
              <w:t xml:space="preserve"> </w:t>
            </w:r>
            <w:r w:rsidRPr="00EA712B">
              <w:rPr>
                <w:rFonts w:ascii="Times New Roman" w:eastAsia="Calibri" w:hAnsi="Times New Roman" w:cs="Times New Roman"/>
                <w:sz w:val="28"/>
                <w:szCs w:val="28"/>
              </w:rPr>
              <w:t>М.: ГЭОТАР-Медиа</w:t>
            </w:r>
            <w:r w:rsidR="003C384B" w:rsidRPr="00EA712B">
              <w:rPr>
                <w:rFonts w:ascii="Times New Roman" w:eastAsia="Calibri" w:hAnsi="Times New Roman" w:cs="Times New Roman"/>
                <w:sz w:val="28"/>
                <w:szCs w:val="28"/>
              </w:rPr>
              <w:t>,</w:t>
            </w:r>
            <w:r w:rsidRPr="00EA712B">
              <w:rPr>
                <w:rFonts w:ascii="Times New Roman" w:eastAsia="Calibri" w:hAnsi="Times New Roman" w:cs="Times New Roman"/>
                <w:sz w:val="28"/>
                <w:szCs w:val="28"/>
              </w:rPr>
              <w:t xml:space="preserve"> 2009</w:t>
            </w:r>
            <w:r w:rsidR="003C384B" w:rsidRPr="00EA712B">
              <w:rPr>
                <w:rFonts w:ascii="Times New Roman" w:eastAsia="Calibri" w:hAnsi="Times New Roman" w:cs="Times New Roman"/>
                <w:sz w:val="28"/>
                <w:szCs w:val="28"/>
              </w:rPr>
              <w:t xml:space="preserve">. </w:t>
            </w:r>
            <w:r w:rsidR="003C384B" w:rsidRPr="00EA712B">
              <w:rPr>
                <w:rFonts w:ascii="Times New Roman" w:eastAsia="Calibri" w:hAnsi="Times New Roman" w:cs="Times New Roman"/>
                <w:sz w:val="28"/>
                <w:szCs w:val="28"/>
              </w:rPr>
              <w:t>–</w:t>
            </w:r>
            <w:r w:rsidR="003C384B" w:rsidRPr="00EA712B">
              <w:rPr>
                <w:rFonts w:ascii="Times New Roman" w:eastAsia="Calibri" w:hAnsi="Times New Roman" w:cs="Times New Roman"/>
                <w:sz w:val="28"/>
                <w:szCs w:val="28"/>
              </w:rPr>
              <w:t xml:space="preserve"> 352 с.</w:t>
            </w:r>
          </w:p>
        </w:tc>
        <w:tc>
          <w:tcPr>
            <w:tcW w:w="5103" w:type="dxa"/>
          </w:tcPr>
          <w:p w14:paraId="5F8278F2" w14:textId="54E5F397" w:rsidR="00951544" w:rsidRPr="00EA712B" w:rsidRDefault="00951544" w:rsidP="00951544">
            <w:pPr>
              <w:tabs>
                <w:tab w:val="left" w:pos="426"/>
              </w:tabs>
              <w:spacing w:after="200"/>
              <w:contextualSpacing/>
              <w:jc w:val="both"/>
              <w:rPr>
                <w:rFonts w:ascii="Times New Roman" w:eastAsia="Calibri" w:hAnsi="Times New Roman" w:cs="Times New Roman"/>
                <w:sz w:val="28"/>
                <w:szCs w:val="28"/>
              </w:rPr>
            </w:pPr>
            <w:proofErr w:type="spellStart"/>
            <w:r w:rsidRPr="00EA712B">
              <w:rPr>
                <w:rFonts w:ascii="Times New Roman" w:eastAsia="Calibri" w:hAnsi="Times New Roman" w:cs="Times New Roman"/>
                <w:sz w:val="28"/>
                <w:szCs w:val="28"/>
                <w:lang w:val="en-US"/>
              </w:rPr>
              <w:t>Khaitov</w:t>
            </w:r>
            <w:proofErr w:type="spellEnd"/>
            <w:r w:rsidRPr="00EA712B">
              <w:rPr>
                <w:rFonts w:ascii="Times New Roman" w:eastAsia="Calibri" w:hAnsi="Times New Roman" w:cs="Times New Roman"/>
                <w:sz w:val="28"/>
                <w:szCs w:val="28"/>
                <w:lang w:val="en-US"/>
              </w:rPr>
              <w:t xml:space="preserve"> R.M., </w:t>
            </w:r>
            <w:proofErr w:type="spellStart"/>
            <w:r w:rsidRPr="00EA712B">
              <w:rPr>
                <w:rFonts w:ascii="Times New Roman" w:eastAsia="Calibri" w:hAnsi="Times New Roman" w:cs="Times New Roman"/>
                <w:sz w:val="28"/>
                <w:szCs w:val="28"/>
                <w:lang w:val="en-US"/>
              </w:rPr>
              <w:t>Pinegin</w:t>
            </w:r>
            <w:proofErr w:type="spellEnd"/>
            <w:r w:rsidRPr="00EA712B">
              <w:rPr>
                <w:rFonts w:ascii="Times New Roman" w:eastAsia="Calibri" w:hAnsi="Times New Roman" w:cs="Times New Roman"/>
                <w:sz w:val="28"/>
                <w:szCs w:val="28"/>
                <w:lang w:val="en-US"/>
              </w:rPr>
              <w:t xml:space="preserve"> B.V., </w:t>
            </w:r>
            <w:proofErr w:type="spellStart"/>
            <w:r w:rsidRPr="00EA712B">
              <w:rPr>
                <w:rFonts w:ascii="Times New Roman" w:eastAsia="Calibri" w:hAnsi="Times New Roman" w:cs="Times New Roman"/>
                <w:sz w:val="28"/>
                <w:szCs w:val="28"/>
                <w:lang w:val="en-US"/>
              </w:rPr>
              <w:t>Yarilin</w:t>
            </w:r>
            <w:proofErr w:type="spellEnd"/>
            <w:r w:rsidRPr="00EA712B">
              <w:rPr>
                <w:rFonts w:ascii="Times New Roman" w:eastAsia="Calibri" w:hAnsi="Times New Roman" w:cs="Times New Roman"/>
                <w:sz w:val="28"/>
                <w:szCs w:val="28"/>
                <w:lang w:val="en-US"/>
              </w:rPr>
              <w:t xml:space="preserve"> A.A. Guidelines for Clinical Immunology. Diagnosis of diseases of the immune system: a guide for doctors. </w:t>
            </w:r>
            <w:proofErr w:type="spellStart"/>
            <w:r w:rsidRPr="00EA712B">
              <w:rPr>
                <w:rFonts w:ascii="Times New Roman" w:eastAsia="Calibri" w:hAnsi="Times New Roman" w:cs="Times New Roman"/>
                <w:sz w:val="28"/>
                <w:szCs w:val="28"/>
              </w:rPr>
              <w:t>Moscow</w:t>
            </w:r>
            <w:proofErr w:type="spellEnd"/>
            <w:r w:rsidRPr="00EA712B">
              <w:rPr>
                <w:rFonts w:ascii="Times New Roman" w:eastAsia="Calibri" w:hAnsi="Times New Roman" w:cs="Times New Roman"/>
                <w:sz w:val="28"/>
                <w:szCs w:val="28"/>
              </w:rPr>
              <w:t>: GEOTAR-</w:t>
            </w:r>
            <w:proofErr w:type="spellStart"/>
            <w:r w:rsidRPr="00EA712B">
              <w:rPr>
                <w:rFonts w:ascii="Times New Roman" w:eastAsia="Calibri" w:hAnsi="Times New Roman" w:cs="Times New Roman"/>
                <w:sz w:val="28"/>
                <w:szCs w:val="28"/>
              </w:rPr>
              <w:t>Media</w:t>
            </w:r>
            <w:proofErr w:type="spellEnd"/>
            <w:r w:rsidR="003C384B" w:rsidRPr="00EA712B">
              <w:rPr>
                <w:rFonts w:ascii="Times New Roman" w:eastAsia="Calibri" w:hAnsi="Times New Roman" w:cs="Times New Roman"/>
                <w:sz w:val="28"/>
                <w:szCs w:val="28"/>
              </w:rPr>
              <w:t>,</w:t>
            </w:r>
            <w:r w:rsidRPr="00EA712B">
              <w:rPr>
                <w:rFonts w:ascii="Times New Roman" w:eastAsia="Calibri" w:hAnsi="Times New Roman" w:cs="Times New Roman"/>
                <w:sz w:val="28"/>
                <w:szCs w:val="28"/>
              </w:rPr>
              <w:t xml:space="preserve"> 2009</w:t>
            </w:r>
            <w:r w:rsidR="003C384B" w:rsidRPr="00EA712B">
              <w:rPr>
                <w:rFonts w:ascii="Times New Roman" w:eastAsia="Calibri" w:hAnsi="Times New Roman" w:cs="Times New Roman"/>
                <w:sz w:val="28"/>
                <w:szCs w:val="28"/>
              </w:rPr>
              <w:t xml:space="preserve">, 352 </w:t>
            </w:r>
            <w:r w:rsidR="003C384B" w:rsidRPr="00EA712B">
              <w:rPr>
                <w:rFonts w:ascii="Times New Roman" w:eastAsia="Calibri" w:hAnsi="Times New Roman" w:cs="Times New Roman"/>
                <w:sz w:val="28"/>
                <w:szCs w:val="28"/>
                <w:lang w:val="en-US"/>
              </w:rPr>
              <w:t>p.</w:t>
            </w:r>
            <w:r w:rsidRPr="00EA712B">
              <w:rPr>
                <w:rFonts w:ascii="Times New Roman" w:eastAsia="Calibri" w:hAnsi="Times New Roman" w:cs="Times New Roman"/>
                <w:sz w:val="28"/>
                <w:szCs w:val="28"/>
              </w:rPr>
              <w:t xml:space="preserve"> (</w:t>
            </w:r>
            <w:proofErr w:type="spellStart"/>
            <w:r w:rsidRPr="00EA712B">
              <w:rPr>
                <w:rFonts w:ascii="Times New Roman" w:eastAsia="Calibri" w:hAnsi="Times New Roman" w:cs="Times New Roman"/>
                <w:sz w:val="28"/>
                <w:szCs w:val="28"/>
              </w:rPr>
              <w:t>In</w:t>
            </w:r>
            <w:proofErr w:type="spellEnd"/>
            <w:r w:rsidRPr="00EA712B">
              <w:rPr>
                <w:rFonts w:ascii="Times New Roman" w:eastAsia="Calibri" w:hAnsi="Times New Roman" w:cs="Times New Roman"/>
                <w:sz w:val="28"/>
                <w:szCs w:val="28"/>
              </w:rPr>
              <w:t xml:space="preserve"> </w:t>
            </w:r>
            <w:proofErr w:type="spellStart"/>
            <w:r w:rsidRPr="00EA712B">
              <w:rPr>
                <w:rFonts w:ascii="Times New Roman" w:eastAsia="Calibri" w:hAnsi="Times New Roman" w:cs="Times New Roman"/>
                <w:sz w:val="28"/>
                <w:szCs w:val="28"/>
              </w:rPr>
              <w:t>Russ</w:t>
            </w:r>
            <w:proofErr w:type="spellEnd"/>
            <w:r w:rsidR="003C384B" w:rsidRPr="00EA712B">
              <w:rPr>
                <w:rFonts w:ascii="Times New Roman" w:eastAsia="Calibri" w:hAnsi="Times New Roman" w:cs="Times New Roman"/>
                <w:sz w:val="28"/>
                <w:szCs w:val="28"/>
                <w:lang w:val="en-US"/>
              </w:rPr>
              <w:t>)</w:t>
            </w:r>
            <w:r w:rsidRPr="00EA712B">
              <w:rPr>
                <w:rFonts w:ascii="Times New Roman" w:eastAsia="Calibri" w:hAnsi="Times New Roman" w:cs="Times New Roman"/>
                <w:sz w:val="28"/>
                <w:szCs w:val="28"/>
              </w:rPr>
              <w:t>.</w:t>
            </w:r>
          </w:p>
        </w:tc>
        <w:tc>
          <w:tcPr>
            <w:tcW w:w="4110" w:type="dxa"/>
          </w:tcPr>
          <w:p w14:paraId="2B66D2D4" w14:textId="77777777" w:rsidR="00951544" w:rsidRPr="00EA712B" w:rsidRDefault="00951544" w:rsidP="00951544">
            <w:pPr>
              <w:spacing w:after="200"/>
              <w:rPr>
                <w:rFonts w:ascii="Times New Roman" w:eastAsia="Calibri" w:hAnsi="Times New Roman" w:cs="Times New Roman"/>
                <w:sz w:val="28"/>
                <w:szCs w:val="28"/>
              </w:rPr>
            </w:pPr>
          </w:p>
        </w:tc>
      </w:tr>
      <w:tr w:rsidR="00EA712B" w:rsidRPr="00EA712B" w14:paraId="2398FADD" w14:textId="77777777" w:rsidTr="002B7DAA">
        <w:tc>
          <w:tcPr>
            <w:tcW w:w="509" w:type="dxa"/>
          </w:tcPr>
          <w:p w14:paraId="136A19D8" w14:textId="190DB814" w:rsidR="00EA712B" w:rsidRPr="00EA712B" w:rsidRDefault="00EA712B" w:rsidP="00EA712B">
            <w:pPr>
              <w:spacing w:after="200"/>
              <w:rPr>
                <w:rFonts w:ascii="Times New Roman" w:eastAsia="Calibri" w:hAnsi="Times New Roman" w:cs="Times New Roman"/>
                <w:sz w:val="28"/>
                <w:szCs w:val="28"/>
              </w:rPr>
            </w:pPr>
            <w:r w:rsidRPr="00EA712B">
              <w:rPr>
                <w:rFonts w:ascii="Times New Roman" w:eastAsia="Calibri" w:hAnsi="Times New Roman" w:cs="Times New Roman"/>
                <w:sz w:val="28"/>
                <w:szCs w:val="28"/>
              </w:rPr>
              <w:t>2</w:t>
            </w:r>
          </w:p>
        </w:tc>
        <w:tc>
          <w:tcPr>
            <w:tcW w:w="5015" w:type="dxa"/>
          </w:tcPr>
          <w:p w14:paraId="686E1FC0" w14:textId="450FBADC"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roofErr w:type="spellStart"/>
            <w:r w:rsidRPr="00EA712B">
              <w:rPr>
                <w:rFonts w:ascii="Times New Roman" w:eastAsia="Calibri" w:hAnsi="Times New Roman" w:cs="Times New Roman"/>
                <w:sz w:val="28"/>
                <w:szCs w:val="28"/>
                <w:lang w:val="en-US"/>
              </w:rPr>
              <w:t>Ameratunga</w:t>
            </w:r>
            <w:proofErr w:type="spellEnd"/>
            <w:r w:rsidRPr="00EA712B">
              <w:rPr>
                <w:rFonts w:ascii="Times New Roman" w:eastAsia="Calibri" w:hAnsi="Times New Roman" w:cs="Times New Roman"/>
                <w:sz w:val="28"/>
                <w:szCs w:val="28"/>
                <w:lang w:val="en-US"/>
              </w:rPr>
              <w:t xml:space="preserve"> R., </w:t>
            </w:r>
            <w:proofErr w:type="spellStart"/>
            <w:r w:rsidRPr="00EA712B">
              <w:rPr>
                <w:rFonts w:ascii="Times New Roman" w:eastAsia="Calibri" w:hAnsi="Times New Roman" w:cs="Times New Roman"/>
                <w:sz w:val="28"/>
                <w:szCs w:val="28"/>
                <w:lang w:val="en-US"/>
              </w:rPr>
              <w:t>Woon</w:t>
            </w:r>
            <w:proofErr w:type="spellEnd"/>
            <w:r w:rsidRPr="00EA712B">
              <w:rPr>
                <w:rFonts w:ascii="Times New Roman" w:eastAsia="Calibri" w:hAnsi="Times New Roman" w:cs="Times New Roman"/>
                <w:sz w:val="28"/>
                <w:szCs w:val="28"/>
                <w:lang w:val="en-US"/>
              </w:rPr>
              <w:t xml:space="preserve"> S.T., Gillis D., Koopmans W., Steele R. New diagnostic criteria for common variable immune deficiency (CVID), which may assist with decisions to treat with intravenous or subcutaneous immunoglobulin. Clin Exp Immunol., 2013, </w:t>
            </w:r>
            <w:r w:rsidRPr="00EA712B">
              <w:rPr>
                <w:rFonts w:ascii="Times New Roman" w:eastAsia="Calibri" w:hAnsi="Times New Roman" w:cs="Times New Roman"/>
                <w:sz w:val="28"/>
                <w:szCs w:val="28"/>
                <w:lang w:val="en-US"/>
              </w:rPr>
              <w:t>Vol</w:t>
            </w:r>
            <w:r w:rsidRPr="00EA712B">
              <w:rPr>
                <w:rFonts w:ascii="Times New Roman" w:eastAsia="Calibri" w:hAnsi="Times New Roman" w:cs="Times New Roman"/>
                <w:sz w:val="28"/>
                <w:szCs w:val="28"/>
                <w:lang w:val="en-US"/>
              </w:rPr>
              <w:t>. 174,</w:t>
            </w:r>
            <w:r w:rsidRPr="00EA712B">
              <w:rPr>
                <w:rFonts w:ascii="Times New Roman" w:hAnsi="Times New Roman" w:cs="Times New Roman"/>
                <w:sz w:val="28"/>
                <w:szCs w:val="28"/>
              </w:rPr>
              <w:t xml:space="preserve"> </w:t>
            </w:r>
            <w:r w:rsidRPr="00EA712B">
              <w:rPr>
                <w:rFonts w:ascii="Times New Roman" w:eastAsia="Calibri" w:hAnsi="Times New Roman" w:cs="Times New Roman"/>
                <w:sz w:val="28"/>
                <w:szCs w:val="28"/>
                <w:lang w:val="en-US"/>
              </w:rPr>
              <w:t>no</w:t>
            </w:r>
            <w:r w:rsidRPr="00EA712B">
              <w:rPr>
                <w:rFonts w:ascii="Times New Roman" w:eastAsia="Calibri" w:hAnsi="Times New Roman" w:cs="Times New Roman"/>
                <w:sz w:val="28"/>
                <w:szCs w:val="28"/>
                <w:lang w:val="en-US"/>
              </w:rPr>
              <w:t xml:space="preserve">. 2, pp. 203-211. </w:t>
            </w:r>
          </w:p>
        </w:tc>
        <w:tc>
          <w:tcPr>
            <w:tcW w:w="5103" w:type="dxa"/>
          </w:tcPr>
          <w:p w14:paraId="63C4F000" w14:textId="568ED27D"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
        </w:tc>
        <w:tc>
          <w:tcPr>
            <w:tcW w:w="4110" w:type="dxa"/>
          </w:tcPr>
          <w:p w14:paraId="15381562" w14:textId="358BFE69" w:rsidR="00EA712B" w:rsidRPr="00EA712B" w:rsidRDefault="00EA712B" w:rsidP="00EA712B">
            <w:pPr>
              <w:spacing w:after="200"/>
              <w:rPr>
                <w:rFonts w:ascii="Times New Roman" w:eastAsia="Calibri" w:hAnsi="Times New Roman" w:cs="Times New Roman"/>
                <w:sz w:val="28"/>
                <w:szCs w:val="28"/>
              </w:rPr>
            </w:pPr>
            <w:proofErr w:type="spellStart"/>
            <w:r w:rsidRPr="00EA712B">
              <w:rPr>
                <w:rFonts w:ascii="Times New Roman" w:eastAsia="Calibri" w:hAnsi="Times New Roman" w:cs="Times New Roman"/>
                <w:sz w:val="28"/>
                <w:szCs w:val="28"/>
                <w:lang w:val="en-US"/>
              </w:rPr>
              <w:t>doi</w:t>
            </w:r>
            <w:proofErr w:type="spellEnd"/>
            <w:r w:rsidRPr="00EA712B">
              <w:rPr>
                <w:rFonts w:ascii="Times New Roman" w:eastAsia="Calibri" w:hAnsi="Times New Roman" w:cs="Times New Roman"/>
                <w:sz w:val="28"/>
                <w:szCs w:val="28"/>
                <w:lang w:val="en-US"/>
              </w:rPr>
              <w:t>: 10.1111/cei.12178.</w:t>
            </w:r>
          </w:p>
        </w:tc>
      </w:tr>
      <w:tr w:rsidR="00EA712B" w:rsidRPr="00EA712B" w14:paraId="183A2FCB" w14:textId="77777777" w:rsidTr="002B7DAA">
        <w:tc>
          <w:tcPr>
            <w:tcW w:w="509" w:type="dxa"/>
          </w:tcPr>
          <w:p w14:paraId="14E14836" w14:textId="3E5B8DBD" w:rsidR="00EA712B" w:rsidRPr="00EA712B" w:rsidRDefault="00EA712B" w:rsidP="00EA712B">
            <w:pPr>
              <w:spacing w:after="200"/>
              <w:rPr>
                <w:rFonts w:ascii="Times New Roman" w:eastAsia="Calibri" w:hAnsi="Times New Roman" w:cs="Times New Roman"/>
                <w:sz w:val="28"/>
                <w:szCs w:val="28"/>
              </w:rPr>
            </w:pPr>
            <w:r w:rsidRPr="00EA712B">
              <w:rPr>
                <w:rFonts w:ascii="Times New Roman" w:eastAsia="Calibri" w:hAnsi="Times New Roman" w:cs="Times New Roman"/>
                <w:sz w:val="28"/>
                <w:szCs w:val="28"/>
              </w:rPr>
              <w:t>3</w:t>
            </w:r>
          </w:p>
        </w:tc>
        <w:tc>
          <w:tcPr>
            <w:tcW w:w="5015" w:type="dxa"/>
          </w:tcPr>
          <w:p w14:paraId="05ACA47E" w14:textId="77777777"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r w:rsidRPr="00EA712B">
              <w:rPr>
                <w:rFonts w:ascii="Times New Roman" w:eastAsia="Calibri" w:hAnsi="Times New Roman" w:cs="Times New Roman"/>
                <w:sz w:val="28"/>
                <w:szCs w:val="28"/>
                <w:lang w:val="en-US"/>
              </w:rPr>
              <w:t xml:space="preserve">Baumann U., Miescher S., </w:t>
            </w:r>
            <w:proofErr w:type="spellStart"/>
            <w:r w:rsidRPr="00EA712B">
              <w:rPr>
                <w:rFonts w:ascii="Times New Roman" w:eastAsia="Calibri" w:hAnsi="Times New Roman" w:cs="Times New Roman"/>
                <w:sz w:val="28"/>
                <w:szCs w:val="28"/>
                <w:lang w:val="en-US"/>
              </w:rPr>
              <w:t>Vonarburg</w:t>
            </w:r>
            <w:proofErr w:type="spellEnd"/>
            <w:r w:rsidRPr="00EA712B">
              <w:rPr>
                <w:rFonts w:ascii="Times New Roman" w:eastAsia="Calibri" w:hAnsi="Times New Roman" w:cs="Times New Roman"/>
                <w:sz w:val="28"/>
                <w:szCs w:val="28"/>
                <w:lang w:val="en-US"/>
              </w:rPr>
              <w:t xml:space="preserve"> C.</w:t>
            </w:r>
          </w:p>
          <w:p w14:paraId="219BEEE6" w14:textId="36AC65A7"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r w:rsidRPr="00EA712B">
              <w:rPr>
                <w:rFonts w:ascii="Times New Roman" w:eastAsia="Calibri" w:hAnsi="Times New Roman" w:cs="Times New Roman"/>
                <w:sz w:val="28"/>
                <w:szCs w:val="28"/>
                <w:lang w:val="en-US"/>
              </w:rPr>
              <w:t xml:space="preserve">Immunoglobulin replacement therapy in antibody deficiency syndromes: are we really doing enough? Clin. Exp. Immunol., 2014, </w:t>
            </w:r>
            <w:r w:rsidRPr="00EA712B">
              <w:rPr>
                <w:rFonts w:ascii="Times New Roman" w:eastAsia="Calibri" w:hAnsi="Times New Roman" w:cs="Times New Roman"/>
                <w:sz w:val="28"/>
                <w:szCs w:val="28"/>
                <w:lang w:val="en-US"/>
              </w:rPr>
              <w:t>no.</w:t>
            </w:r>
            <w:r w:rsidRPr="00EA712B">
              <w:rPr>
                <w:rFonts w:ascii="Times New Roman" w:eastAsia="Calibri" w:hAnsi="Times New Roman" w:cs="Times New Roman"/>
                <w:sz w:val="28"/>
                <w:szCs w:val="28"/>
                <w:lang w:val="en-US"/>
              </w:rPr>
              <w:t xml:space="preserve">178, pp. 83-85. </w:t>
            </w:r>
          </w:p>
        </w:tc>
        <w:tc>
          <w:tcPr>
            <w:tcW w:w="5103" w:type="dxa"/>
          </w:tcPr>
          <w:p w14:paraId="7628B8A1" w14:textId="402DED7C"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
        </w:tc>
        <w:tc>
          <w:tcPr>
            <w:tcW w:w="4110" w:type="dxa"/>
          </w:tcPr>
          <w:p w14:paraId="133FF8D8" w14:textId="291A526A" w:rsidR="00EA712B" w:rsidRPr="00EA712B" w:rsidRDefault="00EA712B" w:rsidP="00EA712B">
            <w:pPr>
              <w:spacing w:after="200"/>
              <w:rPr>
                <w:rFonts w:ascii="Times New Roman" w:eastAsia="Calibri" w:hAnsi="Times New Roman" w:cs="Times New Roman"/>
                <w:sz w:val="28"/>
                <w:szCs w:val="28"/>
                <w:lang w:val="en-US"/>
              </w:rPr>
            </w:pPr>
            <w:r w:rsidRPr="00EA712B">
              <w:rPr>
                <w:rFonts w:ascii="Times New Roman" w:eastAsia="Calibri" w:hAnsi="Times New Roman" w:cs="Times New Roman"/>
                <w:sz w:val="28"/>
                <w:szCs w:val="28"/>
                <w:lang w:val="en-US"/>
              </w:rPr>
              <w:t>doi.org 10.1111/cei.12521</w:t>
            </w:r>
          </w:p>
        </w:tc>
      </w:tr>
      <w:tr w:rsidR="00EA712B" w:rsidRPr="00EA712B" w14:paraId="0B717150" w14:textId="77777777" w:rsidTr="002B7DAA">
        <w:tc>
          <w:tcPr>
            <w:tcW w:w="509" w:type="dxa"/>
          </w:tcPr>
          <w:p w14:paraId="42B964D2" w14:textId="59596785" w:rsidR="00EA712B" w:rsidRPr="00EA712B" w:rsidRDefault="00EA712B" w:rsidP="00EA712B">
            <w:pPr>
              <w:spacing w:after="200"/>
              <w:rPr>
                <w:rFonts w:ascii="Times New Roman" w:eastAsia="Calibri" w:hAnsi="Times New Roman" w:cs="Times New Roman"/>
                <w:sz w:val="28"/>
                <w:szCs w:val="28"/>
              </w:rPr>
            </w:pPr>
            <w:r w:rsidRPr="00EA712B">
              <w:rPr>
                <w:rFonts w:ascii="Times New Roman" w:eastAsia="Calibri" w:hAnsi="Times New Roman" w:cs="Times New Roman"/>
                <w:sz w:val="28"/>
                <w:szCs w:val="28"/>
              </w:rPr>
              <w:t>4</w:t>
            </w:r>
          </w:p>
        </w:tc>
        <w:tc>
          <w:tcPr>
            <w:tcW w:w="5015" w:type="dxa"/>
          </w:tcPr>
          <w:p w14:paraId="5D5D98D4" w14:textId="6812AD78"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r w:rsidRPr="00EA712B">
              <w:rPr>
                <w:rFonts w:ascii="Times New Roman" w:eastAsia="Calibri" w:hAnsi="Times New Roman" w:cs="Times New Roman"/>
                <w:sz w:val="28"/>
                <w:szCs w:val="28"/>
                <w:lang w:val="en-US"/>
              </w:rPr>
              <w:t xml:space="preserve">Edwards E.S.J., Bosco J.J., </w:t>
            </w:r>
            <w:proofErr w:type="spellStart"/>
            <w:r w:rsidRPr="00EA712B">
              <w:rPr>
                <w:rFonts w:ascii="Times New Roman" w:eastAsia="Calibri" w:hAnsi="Times New Roman" w:cs="Times New Roman"/>
                <w:sz w:val="28"/>
                <w:szCs w:val="28"/>
                <w:lang w:val="en-US"/>
              </w:rPr>
              <w:t>Aui</w:t>
            </w:r>
            <w:proofErr w:type="spellEnd"/>
            <w:r w:rsidRPr="00EA712B">
              <w:rPr>
                <w:rFonts w:ascii="Times New Roman" w:eastAsia="Calibri" w:hAnsi="Times New Roman" w:cs="Times New Roman"/>
                <w:sz w:val="28"/>
                <w:szCs w:val="28"/>
                <w:lang w:val="en-US"/>
              </w:rPr>
              <w:t xml:space="preserve"> P.M., et al. Predominantly antibody-deficient patients with non-infectious complications have reduced naive B, </w:t>
            </w:r>
            <w:proofErr w:type="spellStart"/>
            <w:r w:rsidRPr="00EA712B">
              <w:rPr>
                <w:rFonts w:ascii="Times New Roman" w:eastAsia="Calibri" w:hAnsi="Times New Roman" w:cs="Times New Roman"/>
                <w:sz w:val="28"/>
                <w:szCs w:val="28"/>
                <w:lang w:val="en-US"/>
              </w:rPr>
              <w:t>Treg</w:t>
            </w:r>
            <w:proofErr w:type="spellEnd"/>
            <w:r w:rsidRPr="00EA712B">
              <w:rPr>
                <w:rFonts w:ascii="Times New Roman" w:eastAsia="Calibri" w:hAnsi="Times New Roman" w:cs="Times New Roman"/>
                <w:sz w:val="28"/>
                <w:szCs w:val="28"/>
                <w:lang w:val="en-US"/>
              </w:rPr>
              <w:t xml:space="preserve">, Th17, and Tfh17 </w:t>
            </w:r>
            <w:r w:rsidRPr="00EA712B">
              <w:rPr>
                <w:rFonts w:ascii="Times New Roman" w:eastAsia="Calibri" w:hAnsi="Times New Roman" w:cs="Times New Roman"/>
                <w:sz w:val="28"/>
                <w:szCs w:val="28"/>
                <w:lang w:val="en-US"/>
              </w:rPr>
              <w:lastRenderedPageBreak/>
              <w:t xml:space="preserve">Cells. Front. Immunol., 2019, </w:t>
            </w:r>
            <w:r w:rsidRPr="00EA712B">
              <w:rPr>
                <w:rFonts w:ascii="Times New Roman" w:eastAsia="Calibri" w:hAnsi="Times New Roman" w:cs="Times New Roman"/>
                <w:sz w:val="28"/>
                <w:szCs w:val="28"/>
                <w:lang w:val="en-US"/>
              </w:rPr>
              <w:t>no.</w:t>
            </w:r>
            <w:r w:rsidRPr="00EA712B">
              <w:rPr>
                <w:rFonts w:ascii="Times New Roman" w:eastAsia="Calibri" w:hAnsi="Times New Roman" w:cs="Times New Roman"/>
                <w:sz w:val="28"/>
                <w:szCs w:val="28"/>
                <w:lang w:val="en-US"/>
              </w:rPr>
              <w:t xml:space="preserve">10, </w:t>
            </w:r>
            <w:r w:rsidRPr="00EA712B">
              <w:rPr>
                <w:rFonts w:ascii="Times New Roman" w:eastAsia="Calibri" w:hAnsi="Times New Roman" w:cs="Times New Roman"/>
                <w:sz w:val="28"/>
                <w:szCs w:val="28"/>
                <w:lang w:val="en-US"/>
              </w:rPr>
              <w:t>p</w:t>
            </w:r>
            <w:r w:rsidRPr="00EA712B">
              <w:rPr>
                <w:rFonts w:ascii="Times New Roman" w:eastAsia="Calibri" w:hAnsi="Times New Roman" w:cs="Times New Roman"/>
                <w:sz w:val="28"/>
                <w:szCs w:val="28"/>
                <w:lang w:val="en-US"/>
              </w:rPr>
              <w:t xml:space="preserve">.2593. </w:t>
            </w:r>
          </w:p>
        </w:tc>
        <w:tc>
          <w:tcPr>
            <w:tcW w:w="5103" w:type="dxa"/>
          </w:tcPr>
          <w:p w14:paraId="6ABCD893" w14:textId="40ADAD5A"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
        </w:tc>
        <w:tc>
          <w:tcPr>
            <w:tcW w:w="4110" w:type="dxa"/>
          </w:tcPr>
          <w:p w14:paraId="69CD7E41" w14:textId="17051779" w:rsidR="00EA712B" w:rsidRPr="00EA712B" w:rsidRDefault="00EA712B" w:rsidP="00EA712B">
            <w:pPr>
              <w:spacing w:after="200"/>
              <w:rPr>
                <w:rFonts w:ascii="Times New Roman" w:eastAsia="Calibri" w:hAnsi="Times New Roman" w:cs="Times New Roman"/>
                <w:sz w:val="28"/>
                <w:szCs w:val="28"/>
                <w:lang w:val="en-US"/>
              </w:rPr>
            </w:pPr>
            <w:proofErr w:type="spellStart"/>
            <w:r w:rsidRPr="00EA712B">
              <w:rPr>
                <w:rFonts w:ascii="Times New Roman" w:eastAsia="Calibri" w:hAnsi="Times New Roman" w:cs="Times New Roman"/>
                <w:sz w:val="28"/>
                <w:szCs w:val="28"/>
                <w:lang w:val="en-US"/>
              </w:rPr>
              <w:t>doi</w:t>
            </w:r>
            <w:proofErr w:type="spellEnd"/>
            <w:r w:rsidRPr="00EA712B">
              <w:rPr>
                <w:rFonts w:ascii="Times New Roman" w:eastAsia="Calibri" w:hAnsi="Times New Roman" w:cs="Times New Roman"/>
                <w:sz w:val="28"/>
                <w:szCs w:val="28"/>
                <w:lang w:val="en-US"/>
              </w:rPr>
              <w:t>: 10.3389/fimmu.2019.02593</w:t>
            </w:r>
          </w:p>
        </w:tc>
      </w:tr>
      <w:tr w:rsidR="00EA712B" w:rsidRPr="00EA712B" w14:paraId="22AB2074" w14:textId="77777777" w:rsidTr="002B7DAA">
        <w:tc>
          <w:tcPr>
            <w:tcW w:w="509" w:type="dxa"/>
          </w:tcPr>
          <w:p w14:paraId="530DB805" w14:textId="55E54DAE" w:rsidR="00EA712B" w:rsidRPr="00EA712B" w:rsidRDefault="00EA712B" w:rsidP="00EA712B">
            <w:pPr>
              <w:spacing w:after="200"/>
              <w:rPr>
                <w:rFonts w:ascii="Times New Roman" w:eastAsia="Calibri" w:hAnsi="Times New Roman" w:cs="Times New Roman"/>
                <w:sz w:val="28"/>
                <w:szCs w:val="28"/>
              </w:rPr>
            </w:pPr>
            <w:r w:rsidRPr="00EA712B">
              <w:rPr>
                <w:rFonts w:ascii="Times New Roman" w:eastAsia="Calibri" w:hAnsi="Times New Roman" w:cs="Times New Roman"/>
                <w:sz w:val="28"/>
                <w:szCs w:val="28"/>
              </w:rPr>
              <w:t>5</w:t>
            </w:r>
          </w:p>
        </w:tc>
        <w:tc>
          <w:tcPr>
            <w:tcW w:w="5015" w:type="dxa"/>
          </w:tcPr>
          <w:p w14:paraId="5059764D" w14:textId="78235306"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roofErr w:type="spellStart"/>
            <w:r w:rsidRPr="00EA712B">
              <w:rPr>
                <w:rFonts w:ascii="Times New Roman" w:eastAsia="Calibri" w:hAnsi="Times New Roman" w:cs="Times New Roman"/>
                <w:sz w:val="28"/>
                <w:szCs w:val="28"/>
                <w:lang w:val="en-US"/>
              </w:rPr>
              <w:t>Gathmann</w:t>
            </w:r>
            <w:proofErr w:type="spellEnd"/>
            <w:r w:rsidRPr="00EA712B">
              <w:rPr>
                <w:rFonts w:ascii="Times New Roman" w:eastAsia="Calibri" w:hAnsi="Times New Roman" w:cs="Times New Roman"/>
                <w:sz w:val="28"/>
                <w:szCs w:val="28"/>
                <w:lang w:val="en-US"/>
              </w:rPr>
              <w:t xml:space="preserve"> B., Binder N., </w:t>
            </w:r>
            <w:proofErr w:type="spellStart"/>
            <w:r w:rsidRPr="00EA712B">
              <w:rPr>
                <w:rFonts w:ascii="Times New Roman" w:eastAsia="Calibri" w:hAnsi="Times New Roman" w:cs="Times New Roman"/>
                <w:sz w:val="28"/>
                <w:szCs w:val="28"/>
                <w:lang w:val="en-US"/>
              </w:rPr>
              <w:t>Ehl</w:t>
            </w:r>
            <w:proofErr w:type="spellEnd"/>
            <w:r w:rsidRPr="00EA712B">
              <w:rPr>
                <w:rFonts w:ascii="Times New Roman" w:eastAsia="Calibri" w:hAnsi="Times New Roman" w:cs="Times New Roman"/>
                <w:sz w:val="28"/>
                <w:szCs w:val="28"/>
                <w:lang w:val="en-US"/>
              </w:rPr>
              <w:t xml:space="preserve"> S., Kindle G. The European internet-based patient and research database for primary immunodeficiencies. ESID Registry Working </w:t>
            </w:r>
            <w:proofErr w:type="spellStart"/>
            <w:r w:rsidRPr="00EA712B">
              <w:rPr>
                <w:rFonts w:ascii="Times New Roman" w:eastAsia="Calibri" w:hAnsi="Times New Roman" w:cs="Times New Roman"/>
                <w:sz w:val="28"/>
                <w:szCs w:val="28"/>
                <w:lang w:val="en-US"/>
              </w:rPr>
              <w:t>Party.Clin</w:t>
            </w:r>
            <w:proofErr w:type="spellEnd"/>
            <w:r w:rsidRPr="00EA712B">
              <w:rPr>
                <w:rFonts w:ascii="Times New Roman" w:eastAsia="Calibri" w:hAnsi="Times New Roman" w:cs="Times New Roman"/>
                <w:sz w:val="28"/>
                <w:szCs w:val="28"/>
                <w:lang w:val="en-US"/>
              </w:rPr>
              <w:t xml:space="preserve"> Exp Immunol., 2012, </w:t>
            </w:r>
            <w:r w:rsidRPr="00EA712B">
              <w:rPr>
                <w:rFonts w:ascii="Times New Roman" w:eastAsia="Calibri" w:hAnsi="Times New Roman" w:cs="Times New Roman"/>
                <w:sz w:val="28"/>
                <w:szCs w:val="28"/>
                <w:lang w:val="en-US"/>
              </w:rPr>
              <w:t>Vol.</w:t>
            </w:r>
            <w:r w:rsidRPr="00EA712B">
              <w:rPr>
                <w:rFonts w:ascii="Times New Roman" w:eastAsia="Calibri" w:hAnsi="Times New Roman" w:cs="Times New Roman"/>
                <w:sz w:val="28"/>
                <w:szCs w:val="28"/>
                <w:lang w:val="en-US"/>
              </w:rPr>
              <w:t>167,</w:t>
            </w:r>
            <w:r w:rsidRPr="00EA712B">
              <w:rPr>
                <w:rFonts w:ascii="Times New Roman" w:hAnsi="Times New Roman" w:cs="Times New Roman"/>
                <w:sz w:val="28"/>
                <w:szCs w:val="28"/>
                <w:lang w:val="en-US"/>
              </w:rPr>
              <w:t xml:space="preserve"> </w:t>
            </w:r>
            <w:r w:rsidRPr="00EA712B">
              <w:rPr>
                <w:rFonts w:ascii="Times New Roman" w:eastAsia="Calibri" w:hAnsi="Times New Roman" w:cs="Times New Roman"/>
                <w:sz w:val="28"/>
                <w:szCs w:val="28"/>
                <w:lang w:val="en-US"/>
              </w:rPr>
              <w:t>no.</w:t>
            </w:r>
            <w:r w:rsidRPr="00EA712B">
              <w:rPr>
                <w:rFonts w:ascii="Times New Roman" w:eastAsia="Calibri" w:hAnsi="Times New Roman" w:cs="Times New Roman"/>
                <w:sz w:val="28"/>
                <w:szCs w:val="28"/>
                <w:lang w:val="en-US"/>
              </w:rPr>
              <w:t xml:space="preserve">3, </w:t>
            </w:r>
            <w:r w:rsidRPr="00EA712B">
              <w:rPr>
                <w:rFonts w:ascii="Times New Roman" w:eastAsia="Calibri" w:hAnsi="Times New Roman" w:cs="Times New Roman"/>
                <w:sz w:val="28"/>
                <w:szCs w:val="28"/>
                <w:lang w:val="en-US"/>
              </w:rPr>
              <w:t>pp.</w:t>
            </w:r>
            <w:r w:rsidRPr="00EA712B">
              <w:rPr>
                <w:rFonts w:ascii="Times New Roman" w:eastAsia="Calibri" w:hAnsi="Times New Roman" w:cs="Times New Roman"/>
                <w:sz w:val="28"/>
                <w:szCs w:val="28"/>
                <w:lang w:val="en-US"/>
              </w:rPr>
              <w:t xml:space="preserve"> 479-491. </w:t>
            </w:r>
          </w:p>
        </w:tc>
        <w:tc>
          <w:tcPr>
            <w:tcW w:w="5103" w:type="dxa"/>
          </w:tcPr>
          <w:p w14:paraId="131C43B0" w14:textId="61E01E60"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
        </w:tc>
        <w:tc>
          <w:tcPr>
            <w:tcW w:w="4110" w:type="dxa"/>
          </w:tcPr>
          <w:p w14:paraId="3E5D7700" w14:textId="091E6561" w:rsidR="00EA712B" w:rsidRPr="00EA712B" w:rsidRDefault="00EA712B" w:rsidP="00EA712B">
            <w:pPr>
              <w:spacing w:after="200"/>
              <w:rPr>
                <w:rFonts w:ascii="Times New Roman" w:eastAsia="Calibri" w:hAnsi="Times New Roman" w:cs="Times New Roman"/>
                <w:sz w:val="28"/>
                <w:szCs w:val="28"/>
                <w:lang w:val="en-US"/>
              </w:rPr>
            </w:pPr>
            <w:proofErr w:type="spellStart"/>
            <w:r w:rsidRPr="00EA712B">
              <w:rPr>
                <w:rFonts w:ascii="Times New Roman" w:eastAsia="Calibri" w:hAnsi="Times New Roman" w:cs="Times New Roman"/>
                <w:sz w:val="28"/>
                <w:szCs w:val="28"/>
                <w:lang w:val="en-US"/>
              </w:rPr>
              <w:t>doi</w:t>
            </w:r>
            <w:proofErr w:type="spellEnd"/>
            <w:r w:rsidRPr="00EA712B">
              <w:rPr>
                <w:rFonts w:ascii="Times New Roman" w:eastAsia="Calibri" w:hAnsi="Times New Roman" w:cs="Times New Roman"/>
                <w:sz w:val="28"/>
                <w:szCs w:val="28"/>
                <w:lang w:val="en-US"/>
              </w:rPr>
              <w:t>: 10.1111/j.1365-2249.2011.04542.x</w:t>
            </w:r>
          </w:p>
        </w:tc>
      </w:tr>
      <w:tr w:rsidR="00EA712B" w:rsidRPr="00EA712B" w14:paraId="14A59E1A" w14:textId="77777777" w:rsidTr="002B7DAA">
        <w:tc>
          <w:tcPr>
            <w:tcW w:w="509" w:type="dxa"/>
          </w:tcPr>
          <w:p w14:paraId="0AE0C425" w14:textId="58E1E96C" w:rsidR="00EA712B" w:rsidRPr="00EA712B" w:rsidRDefault="00EA712B" w:rsidP="00EA712B">
            <w:pPr>
              <w:spacing w:after="200"/>
              <w:rPr>
                <w:rFonts w:ascii="Times New Roman" w:eastAsia="Calibri" w:hAnsi="Times New Roman" w:cs="Times New Roman"/>
                <w:sz w:val="28"/>
                <w:szCs w:val="28"/>
              </w:rPr>
            </w:pPr>
            <w:r w:rsidRPr="00EA712B">
              <w:rPr>
                <w:rFonts w:ascii="Times New Roman" w:eastAsia="Calibri" w:hAnsi="Times New Roman" w:cs="Times New Roman"/>
                <w:sz w:val="28"/>
                <w:szCs w:val="28"/>
              </w:rPr>
              <w:t>6</w:t>
            </w:r>
          </w:p>
        </w:tc>
        <w:tc>
          <w:tcPr>
            <w:tcW w:w="5015" w:type="dxa"/>
          </w:tcPr>
          <w:p w14:paraId="6BD17769" w14:textId="5A9FED2B" w:rsidR="00EA712B" w:rsidRPr="00EA712B" w:rsidRDefault="00EA712B" w:rsidP="00EA712B">
            <w:pPr>
              <w:spacing w:after="200"/>
              <w:rPr>
                <w:rFonts w:ascii="Times New Roman" w:eastAsia="Calibri" w:hAnsi="Times New Roman" w:cs="Times New Roman"/>
                <w:sz w:val="28"/>
                <w:szCs w:val="28"/>
                <w:lang w:val="en-US"/>
              </w:rPr>
            </w:pPr>
            <w:r w:rsidRPr="00EA712B">
              <w:rPr>
                <w:rFonts w:ascii="Times New Roman" w:eastAsia="Calibri" w:hAnsi="Times New Roman" w:cs="Times New Roman"/>
                <w:sz w:val="28"/>
                <w:szCs w:val="28"/>
                <w:lang w:val="en-US"/>
              </w:rPr>
              <w:t xml:space="preserve">Li R., </w:t>
            </w:r>
            <w:hyperlink r:id="rId5" w:history="1">
              <w:r w:rsidRPr="00EA712B">
                <w:rPr>
                  <w:rStyle w:val="a4"/>
                  <w:rFonts w:ascii="Times New Roman" w:eastAsia="Calibri" w:hAnsi="Times New Roman" w:cs="Times New Roman"/>
                  <w:color w:val="000000" w:themeColor="text1"/>
                  <w:sz w:val="28"/>
                  <w:szCs w:val="28"/>
                  <w:u w:val="none"/>
                  <w:lang w:val="en-US"/>
                </w:rPr>
                <w:t>Zheng</w:t>
              </w:r>
            </w:hyperlink>
            <w:r w:rsidRPr="00EA712B">
              <w:rPr>
                <w:rFonts w:ascii="Times New Roman" w:eastAsia="Calibri" w:hAnsi="Times New Roman" w:cs="Times New Roman"/>
                <w:color w:val="000000" w:themeColor="text1"/>
                <w:sz w:val="28"/>
                <w:szCs w:val="28"/>
                <w:lang w:val="en-US"/>
              </w:rPr>
              <w:t xml:space="preserve"> </w:t>
            </w:r>
            <w:r w:rsidRPr="00EA712B">
              <w:rPr>
                <w:rFonts w:ascii="Times New Roman" w:eastAsia="Calibri" w:hAnsi="Times New Roman" w:cs="Times New Roman"/>
                <w:sz w:val="28"/>
                <w:szCs w:val="28"/>
                <w:lang w:val="en-US"/>
              </w:rPr>
              <w:t xml:space="preserve">Y. Common variable immunodeficiency with genetic defects identified by whole exome sequencing. </w:t>
            </w:r>
            <w:r w:rsidRPr="00EA712B">
              <w:rPr>
                <w:rFonts w:ascii="Times New Roman" w:eastAsia="Calibri" w:hAnsi="Times New Roman" w:cs="Times New Roman"/>
                <w:sz w:val="28"/>
                <w:szCs w:val="28"/>
                <w:lang w:val="en-US"/>
              </w:rPr>
              <w:t>BioMed Research International</w:t>
            </w:r>
            <w:r w:rsidRPr="00EA712B">
              <w:rPr>
                <w:rFonts w:ascii="Times New Roman" w:eastAsia="Calibri" w:hAnsi="Times New Roman" w:cs="Times New Roman"/>
                <w:sz w:val="28"/>
                <w:szCs w:val="28"/>
                <w:lang w:val="en-US"/>
              </w:rPr>
              <w:t xml:space="preserve">, 2018, </w:t>
            </w:r>
            <w:r w:rsidRPr="00EA712B">
              <w:rPr>
                <w:rFonts w:ascii="Times New Roman" w:eastAsia="Calibri" w:hAnsi="Times New Roman" w:cs="Times New Roman"/>
                <w:sz w:val="28"/>
                <w:szCs w:val="28"/>
                <w:lang w:val="en-US"/>
              </w:rPr>
              <w:t>Article ID 3724630, 7 p</w:t>
            </w:r>
            <w:r w:rsidRPr="00EA712B">
              <w:rPr>
                <w:rFonts w:ascii="Times New Roman" w:eastAsia="Calibri" w:hAnsi="Times New Roman" w:cs="Times New Roman"/>
                <w:sz w:val="28"/>
                <w:szCs w:val="28"/>
                <w:lang w:val="en-US"/>
              </w:rPr>
              <w:t>.</w:t>
            </w:r>
          </w:p>
        </w:tc>
        <w:tc>
          <w:tcPr>
            <w:tcW w:w="5103" w:type="dxa"/>
          </w:tcPr>
          <w:p w14:paraId="5DDEEB48" w14:textId="6DFA2A0E"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
        </w:tc>
        <w:tc>
          <w:tcPr>
            <w:tcW w:w="4110" w:type="dxa"/>
          </w:tcPr>
          <w:p w14:paraId="4BF517FA" w14:textId="612B0EDB" w:rsidR="00EA712B" w:rsidRPr="00EA712B" w:rsidRDefault="00EA712B" w:rsidP="00EA712B">
            <w:pPr>
              <w:spacing w:after="200"/>
              <w:rPr>
                <w:rFonts w:ascii="Times New Roman" w:eastAsia="Calibri" w:hAnsi="Times New Roman" w:cs="Times New Roman"/>
                <w:sz w:val="28"/>
                <w:szCs w:val="28"/>
                <w:lang w:val="en-US"/>
              </w:rPr>
            </w:pPr>
            <w:hyperlink r:id="rId6" w:history="1">
              <w:r w:rsidRPr="00EA712B">
                <w:rPr>
                  <w:rStyle w:val="a4"/>
                  <w:rFonts w:ascii="Times New Roman" w:eastAsia="Calibri" w:hAnsi="Times New Roman" w:cs="Times New Roman"/>
                  <w:sz w:val="28"/>
                  <w:szCs w:val="28"/>
                  <w:lang w:val="en-US"/>
                </w:rPr>
                <w:t>https://doi.org/10.1155/2018/3724630</w:t>
              </w:r>
            </w:hyperlink>
          </w:p>
        </w:tc>
      </w:tr>
      <w:tr w:rsidR="00EA712B" w:rsidRPr="00EA712B" w14:paraId="3A4584F3" w14:textId="77777777" w:rsidTr="002B7DAA">
        <w:tc>
          <w:tcPr>
            <w:tcW w:w="509" w:type="dxa"/>
          </w:tcPr>
          <w:p w14:paraId="4B19D323" w14:textId="6DC4AC93" w:rsidR="00EA712B" w:rsidRPr="00EA712B" w:rsidRDefault="00EA712B" w:rsidP="00EA712B">
            <w:pPr>
              <w:spacing w:after="200"/>
              <w:rPr>
                <w:rFonts w:ascii="Times New Roman" w:eastAsia="Calibri" w:hAnsi="Times New Roman" w:cs="Times New Roman"/>
                <w:sz w:val="28"/>
                <w:szCs w:val="28"/>
              </w:rPr>
            </w:pPr>
            <w:r w:rsidRPr="00EA712B">
              <w:rPr>
                <w:rFonts w:ascii="Times New Roman" w:eastAsia="Calibri" w:hAnsi="Times New Roman" w:cs="Times New Roman"/>
                <w:sz w:val="28"/>
                <w:szCs w:val="28"/>
              </w:rPr>
              <w:t>7</w:t>
            </w:r>
          </w:p>
        </w:tc>
        <w:tc>
          <w:tcPr>
            <w:tcW w:w="5015" w:type="dxa"/>
          </w:tcPr>
          <w:p w14:paraId="38C5C9BF" w14:textId="4085CD76" w:rsidR="00EA712B" w:rsidRPr="00EA712B" w:rsidRDefault="00EA712B" w:rsidP="00EA712B">
            <w:pPr>
              <w:spacing w:after="200"/>
              <w:rPr>
                <w:rFonts w:ascii="Times New Roman" w:eastAsia="Calibri" w:hAnsi="Times New Roman" w:cs="Times New Roman"/>
                <w:sz w:val="28"/>
                <w:szCs w:val="28"/>
                <w:lang w:val="en-US"/>
              </w:rPr>
            </w:pPr>
            <w:proofErr w:type="spellStart"/>
            <w:r w:rsidRPr="00EA712B">
              <w:rPr>
                <w:rFonts w:ascii="Times New Roman" w:eastAsia="Calibri" w:hAnsi="Times New Roman" w:cs="Times New Roman"/>
                <w:sz w:val="28"/>
                <w:szCs w:val="28"/>
                <w:lang w:val="en-US"/>
              </w:rPr>
              <w:t>Quinti</w:t>
            </w:r>
            <w:proofErr w:type="spellEnd"/>
            <w:r w:rsidRPr="00EA712B">
              <w:rPr>
                <w:rFonts w:ascii="Times New Roman" w:eastAsia="Calibri" w:hAnsi="Times New Roman" w:cs="Times New Roman"/>
                <w:sz w:val="28"/>
                <w:szCs w:val="28"/>
                <w:lang w:val="en-US"/>
              </w:rPr>
              <w:t xml:space="preserve"> I., </w:t>
            </w:r>
            <w:proofErr w:type="spellStart"/>
            <w:r w:rsidRPr="00EA712B">
              <w:rPr>
                <w:rFonts w:ascii="Times New Roman" w:eastAsia="Calibri" w:hAnsi="Times New Roman" w:cs="Times New Roman"/>
                <w:sz w:val="28"/>
                <w:szCs w:val="28"/>
                <w:lang w:val="en-US"/>
              </w:rPr>
              <w:t>Soresina</w:t>
            </w:r>
            <w:proofErr w:type="spellEnd"/>
            <w:r w:rsidRPr="00EA712B">
              <w:rPr>
                <w:rFonts w:ascii="Times New Roman" w:eastAsia="Calibri" w:hAnsi="Times New Roman" w:cs="Times New Roman"/>
                <w:sz w:val="28"/>
                <w:szCs w:val="28"/>
                <w:lang w:val="en-US"/>
              </w:rPr>
              <w:t xml:space="preserve"> A., Guerra A., et al. Effectiveness of immunoglobulin replacement therapy on clinical outcome in patients with primary antibody deficiencies: results from a multicenter prospective cohort study. J Clin Immunol., 2011, </w:t>
            </w:r>
            <w:r w:rsidRPr="00EA712B">
              <w:rPr>
                <w:rFonts w:ascii="Times New Roman" w:eastAsia="Calibri" w:hAnsi="Times New Roman" w:cs="Times New Roman"/>
                <w:sz w:val="28"/>
                <w:szCs w:val="28"/>
                <w:lang w:val="en-US"/>
              </w:rPr>
              <w:t>Vol.</w:t>
            </w:r>
            <w:r w:rsidRPr="00EA712B">
              <w:rPr>
                <w:rFonts w:ascii="Times New Roman" w:eastAsia="Calibri" w:hAnsi="Times New Roman" w:cs="Times New Roman"/>
                <w:sz w:val="28"/>
                <w:szCs w:val="28"/>
                <w:lang w:val="en-US"/>
              </w:rPr>
              <w:t xml:space="preserve">31, </w:t>
            </w:r>
            <w:r w:rsidRPr="00EA712B">
              <w:rPr>
                <w:rFonts w:ascii="Times New Roman" w:eastAsia="Calibri" w:hAnsi="Times New Roman" w:cs="Times New Roman"/>
                <w:sz w:val="28"/>
                <w:szCs w:val="28"/>
                <w:lang w:val="en-US"/>
              </w:rPr>
              <w:t>no3</w:t>
            </w:r>
            <w:r w:rsidRPr="00EA712B">
              <w:rPr>
                <w:rFonts w:ascii="Times New Roman" w:eastAsia="Calibri" w:hAnsi="Times New Roman" w:cs="Times New Roman"/>
                <w:sz w:val="28"/>
                <w:szCs w:val="28"/>
                <w:lang w:val="en-US"/>
              </w:rPr>
              <w:t xml:space="preserve">, </w:t>
            </w:r>
            <w:r w:rsidRPr="00EA712B">
              <w:rPr>
                <w:rFonts w:ascii="Times New Roman" w:eastAsia="Calibri" w:hAnsi="Times New Roman" w:cs="Times New Roman"/>
                <w:sz w:val="28"/>
                <w:szCs w:val="28"/>
                <w:lang w:val="en-US"/>
              </w:rPr>
              <w:t>pp.</w:t>
            </w:r>
            <w:r w:rsidRPr="00EA712B">
              <w:rPr>
                <w:rFonts w:ascii="Times New Roman" w:eastAsia="Calibri" w:hAnsi="Times New Roman" w:cs="Times New Roman"/>
                <w:sz w:val="28"/>
                <w:szCs w:val="28"/>
                <w:lang w:val="en-US"/>
              </w:rPr>
              <w:t xml:space="preserve"> 315–322. </w:t>
            </w:r>
          </w:p>
        </w:tc>
        <w:tc>
          <w:tcPr>
            <w:tcW w:w="5103" w:type="dxa"/>
          </w:tcPr>
          <w:p w14:paraId="16D96AAC" w14:textId="312C4B7B"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
        </w:tc>
        <w:tc>
          <w:tcPr>
            <w:tcW w:w="4110" w:type="dxa"/>
          </w:tcPr>
          <w:p w14:paraId="2DDE0A7F" w14:textId="7388278F" w:rsidR="00EA712B" w:rsidRPr="00EA712B" w:rsidRDefault="00EA712B" w:rsidP="00EA712B">
            <w:pPr>
              <w:spacing w:after="200"/>
              <w:rPr>
                <w:rFonts w:ascii="Times New Roman" w:hAnsi="Times New Roman" w:cs="Times New Roman"/>
                <w:sz w:val="28"/>
                <w:szCs w:val="28"/>
              </w:rPr>
            </w:pPr>
            <w:proofErr w:type="spellStart"/>
            <w:r w:rsidRPr="00EA712B">
              <w:rPr>
                <w:rFonts w:ascii="Times New Roman" w:eastAsia="Calibri" w:hAnsi="Times New Roman" w:cs="Times New Roman"/>
                <w:sz w:val="28"/>
                <w:szCs w:val="28"/>
                <w:lang w:val="en-US"/>
              </w:rPr>
              <w:t>doi</w:t>
            </w:r>
            <w:proofErr w:type="spellEnd"/>
            <w:r w:rsidRPr="00EA712B">
              <w:rPr>
                <w:rFonts w:ascii="Times New Roman" w:eastAsia="Calibri" w:hAnsi="Times New Roman" w:cs="Times New Roman"/>
                <w:sz w:val="28"/>
                <w:szCs w:val="28"/>
                <w:lang w:val="en-US"/>
              </w:rPr>
              <w:t>: 10.1007/s10875-011-9511-0.</w:t>
            </w:r>
          </w:p>
        </w:tc>
      </w:tr>
      <w:tr w:rsidR="00EA712B" w:rsidRPr="00EA712B" w14:paraId="3C5E7B0F" w14:textId="77777777" w:rsidTr="002B7DAA">
        <w:tc>
          <w:tcPr>
            <w:tcW w:w="509" w:type="dxa"/>
          </w:tcPr>
          <w:p w14:paraId="50109CED" w14:textId="4A73BA23" w:rsidR="00EA712B" w:rsidRPr="00EA712B" w:rsidRDefault="00EA712B" w:rsidP="00EA712B">
            <w:pPr>
              <w:spacing w:after="200"/>
              <w:rPr>
                <w:rFonts w:ascii="Times New Roman" w:eastAsia="Calibri" w:hAnsi="Times New Roman" w:cs="Times New Roman"/>
                <w:sz w:val="28"/>
                <w:szCs w:val="28"/>
              </w:rPr>
            </w:pPr>
            <w:r w:rsidRPr="00EA712B">
              <w:rPr>
                <w:rFonts w:ascii="Times New Roman" w:eastAsia="Calibri" w:hAnsi="Times New Roman" w:cs="Times New Roman"/>
                <w:sz w:val="28"/>
                <w:szCs w:val="28"/>
              </w:rPr>
              <w:t>8</w:t>
            </w:r>
          </w:p>
        </w:tc>
        <w:tc>
          <w:tcPr>
            <w:tcW w:w="5015" w:type="dxa"/>
          </w:tcPr>
          <w:p w14:paraId="2861091D" w14:textId="0D8ED207" w:rsidR="00EA712B" w:rsidRPr="00EA712B" w:rsidRDefault="00EA712B" w:rsidP="00EA712B">
            <w:pPr>
              <w:spacing w:after="200"/>
              <w:rPr>
                <w:rFonts w:ascii="Times New Roman" w:eastAsia="Calibri" w:hAnsi="Times New Roman" w:cs="Times New Roman"/>
                <w:sz w:val="28"/>
                <w:szCs w:val="28"/>
                <w:lang w:val="en-US"/>
              </w:rPr>
            </w:pPr>
            <w:proofErr w:type="spellStart"/>
            <w:r w:rsidRPr="00EA712B">
              <w:rPr>
                <w:rFonts w:ascii="Times New Roman" w:eastAsia="Calibri" w:hAnsi="Times New Roman" w:cs="Times New Roman"/>
                <w:sz w:val="28"/>
                <w:szCs w:val="28"/>
                <w:lang w:val="en-US"/>
              </w:rPr>
              <w:t>Tangye</w:t>
            </w:r>
            <w:proofErr w:type="spellEnd"/>
            <w:r w:rsidRPr="00EA712B">
              <w:rPr>
                <w:rFonts w:ascii="Times New Roman" w:eastAsia="Calibri" w:hAnsi="Times New Roman" w:cs="Times New Roman"/>
                <w:sz w:val="28"/>
                <w:szCs w:val="28"/>
                <w:lang w:val="en-US"/>
              </w:rPr>
              <w:t xml:space="preserve"> S.G., Al-</w:t>
            </w:r>
            <w:proofErr w:type="spellStart"/>
            <w:r w:rsidRPr="00EA712B">
              <w:rPr>
                <w:rFonts w:ascii="Times New Roman" w:eastAsia="Calibri" w:hAnsi="Times New Roman" w:cs="Times New Roman"/>
                <w:sz w:val="28"/>
                <w:szCs w:val="28"/>
                <w:lang w:val="en-US"/>
              </w:rPr>
              <w:t>Herz</w:t>
            </w:r>
            <w:proofErr w:type="spellEnd"/>
            <w:r w:rsidRPr="00EA712B">
              <w:rPr>
                <w:rFonts w:ascii="Times New Roman" w:eastAsia="Calibri" w:hAnsi="Times New Roman" w:cs="Times New Roman"/>
                <w:sz w:val="28"/>
                <w:szCs w:val="28"/>
                <w:lang w:val="en-US"/>
              </w:rPr>
              <w:t xml:space="preserve"> W., </w:t>
            </w:r>
            <w:proofErr w:type="spellStart"/>
            <w:r w:rsidRPr="00EA712B">
              <w:rPr>
                <w:rFonts w:ascii="Times New Roman" w:eastAsia="Calibri" w:hAnsi="Times New Roman" w:cs="Times New Roman"/>
                <w:sz w:val="28"/>
                <w:szCs w:val="28"/>
                <w:lang w:val="en-US"/>
              </w:rPr>
              <w:t>Bousfiha</w:t>
            </w:r>
            <w:proofErr w:type="spellEnd"/>
            <w:r w:rsidRPr="00EA712B">
              <w:rPr>
                <w:rFonts w:ascii="Times New Roman" w:eastAsia="Calibri" w:hAnsi="Times New Roman" w:cs="Times New Roman"/>
                <w:sz w:val="28"/>
                <w:szCs w:val="28"/>
                <w:lang w:val="en-US"/>
              </w:rPr>
              <w:t xml:space="preserve"> A. et al. Human Inborn Errors of Immunity: 2019 Update on the Classification from the International Union of Immunological Societies Expert Committee. J Clin Immunol., 2020, </w:t>
            </w:r>
            <w:r w:rsidRPr="00EA712B">
              <w:rPr>
                <w:rFonts w:ascii="Times New Roman" w:eastAsia="Calibri" w:hAnsi="Times New Roman" w:cs="Times New Roman"/>
                <w:sz w:val="28"/>
                <w:szCs w:val="28"/>
                <w:lang w:val="en-US"/>
              </w:rPr>
              <w:t>Vol</w:t>
            </w:r>
            <w:r w:rsidRPr="00EA712B">
              <w:rPr>
                <w:rFonts w:ascii="Times New Roman" w:eastAsia="Calibri" w:hAnsi="Times New Roman" w:cs="Times New Roman"/>
                <w:sz w:val="28"/>
                <w:szCs w:val="28"/>
                <w:lang w:val="en-US"/>
              </w:rPr>
              <w:t>.40, pp. 24-64.</w:t>
            </w:r>
          </w:p>
        </w:tc>
        <w:tc>
          <w:tcPr>
            <w:tcW w:w="5103" w:type="dxa"/>
          </w:tcPr>
          <w:p w14:paraId="2DA76F49" w14:textId="5B3A950B"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
        </w:tc>
        <w:tc>
          <w:tcPr>
            <w:tcW w:w="4110" w:type="dxa"/>
          </w:tcPr>
          <w:p w14:paraId="688A2890" w14:textId="77777777" w:rsidR="00EA712B" w:rsidRPr="00EA712B" w:rsidRDefault="00EA712B" w:rsidP="00EA712B">
            <w:pPr>
              <w:tabs>
                <w:tab w:val="left" w:pos="426"/>
              </w:tabs>
              <w:spacing w:after="200"/>
              <w:contextualSpacing/>
              <w:jc w:val="both"/>
              <w:rPr>
                <w:rFonts w:ascii="Times New Roman" w:eastAsia="Calibri" w:hAnsi="Times New Roman" w:cs="Times New Roman"/>
                <w:sz w:val="28"/>
                <w:szCs w:val="28"/>
              </w:rPr>
            </w:pPr>
          </w:p>
          <w:p w14:paraId="17431D0B" w14:textId="77777777" w:rsidR="00EA712B" w:rsidRPr="00EA712B" w:rsidRDefault="00EA712B" w:rsidP="00EA712B">
            <w:pPr>
              <w:tabs>
                <w:tab w:val="left" w:pos="426"/>
              </w:tabs>
              <w:spacing w:after="200"/>
              <w:contextualSpacing/>
              <w:jc w:val="both"/>
              <w:rPr>
                <w:rFonts w:ascii="Times New Roman" w:eastAsia="Calibri" w:hAnsi="Times New Roman" w:cs="Times New Roman"/>
                <w:sz w:val="28"/>
                <w:szCs w:val="28"/>
              </w:rPr>
            </w:pPr>
          </w:p>
          <w:p w14:paraId="04BDE4B9" w14:textId="77777777" w:rsidR="00EA712B" w:rsidRPr="00EA712B" w:rsidRDefault="00EA712B" w:rsidP="00EA712B">
            <w:pPr>
              <w:tabs>
                <w:tab w:val="left" w:pos="426"/>
              </w:tabs>
              <w:spacing w:after="200"/>
              <w:contextualSpacing/>
              <w:jc w:val="both"/>
              <w:rPr>
                <w:rFonts w:ascii="Times New Roman" w:eastAsia="Calibri" w:hAnsi="Times New Roman" w:cs="Times New Roman"/>
                <w:sz w:val="28"/>
                <w:szCs w:val="28"/>
              </w:rPr>
            </w:pPr>
            <w:hyperlink r:id="rId7" w:history="1">
              <w:r w:rsidRPr="00EA712B">
                <w:rPr>
                  <w:rStyle w:val="a4"/>
                  <w:rFonts w:ascii="Times New Roman" w:eastAsia="Calibri" w:hAnsi="Times New Roman" w:cs="Times New Roman"/>
                  <w:sz w:val="28"/>
                  <w:szCs w:val="28"/>
                </w:rPr>
                <w:t>doi.org/10.1007/s10875-019-00737-x</w:t>
              </w:r>
            </w:hyperlink>
          </w:p>
          <w:p w14:paraId="0B64FD84" w14:textId="77777777" w:rsidR="00EA712B" w:rsidRPr="00EA712B" w:rsidRDefault="00EA712B" w:rsidP="00EA712B">
            <w:pPr>
              <w:spacing w:after="200"/>
              <w:rPr>
                <w:rFonts w:ascii="Times New Roman" w:eastAsia="Calibri" w:hAnsi="Times New Roman" w:cs="Times New Roman"/>
                <w:sz w:val="28"/>
                <w:szCs w:val="28"/>
                <w:lang w:val="en-US"/>
              </w:rPr>
            </w:pPr>
          </w:p>
        </w:tc>
      </w:tr>
      <w:tr w:rsidR="00EA712B" w:rsidRPr="00EA712B" w14:paraId="146DFAD3" w14:textId="77777777" w:rsidTr="002B7DAA">
        <w:tc>
          <w:tcPr>
            <w:tcW w:w="509" w:type="dxa"/>
          </w:tcPr>
          <w:p w14:paraId="070DEDEE" w14:textId="2D1D632A" w:rsidR="00EA712B" w:rsidRPr="00EA712B" w:rsidRDefault="00EA712B" w:rsidP="00EA712B">
            <w:pPr>
              <w:spacing w:after="200"/>
              <w:rPr>
                <w:rFonts w:ascii="Times New Roman" w:eastAsia="Calibri" w:hAnsi="Times New Roman" w:cs="Times New Roman"/>
                <w:sz w:val="28"/>
                <w:szCs w:val="28"/>
              </w:rPr>
            </w:pPr>
            <w:r w:rsidRPr="00EA712B">
              <w:rPr>
                <w:rFonts w:ascii="Times New Roman" w:eastAsia="Calibri" w:hAnsi="Times New Roman" w:cs="Times New Roman"/>
                <w:sz w:val="28"/>
                <w:szCs w:val="28"/>
              </w:rPr>
              <w:lastRenderedPageBreak/>
              <w:t>9</w:t>
            </w:r>
          </w:p>
        </w:tc>
        <w:tc>
          <w:tcPr>
            <w:tcW w:w="5015" w:type="dxa"/>
          </w:tcPr>
          <w:p w14:paraId="68236984" w14:textId="6DC1DC38"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roofErr w:type="spellStart"/>
            <w:r w:rsidRPr="00EA712B">
              <w:rPr>
                <w:rFonts w:ascii="Times New Roman" w:eastAsia="Calibri" w:hAnsi="Times New Roman" w:cs="Times New Roman"/>
                <w:sz w:val="28"/>
                <w:szCs w:val="28"/>
                <w:lang w:val="en-US"/>
              </w:rPr>
              <w:t>Shillitoe</w:t>
            </w:r>
            <w:proofErr w:type="spellEnd"/>
            <w:r w:rsidRPr="00EA712B">
              <w:rPr>
                <w:rFonts w:ascii="Times New Roman" w:eastAsia="Calibri" w:hAnsi="Times New Roman" w:cs="Times New Roman"/>
                <w:sz w:val="28"/>
                <w:szCs w:val="28"/>
                <w:lang w:val="en-US"/>
              </w:rPr>
              <w:t xml:space="preserve"> B., </w:t>
            </w:r>
            <w:proofErr w:type="spellStart"/>
            <w:r w:rsidRPr="00EA712B">
              <w:rPr>
                <w:rFonts w:ascii="Times New Roman" w:eastAsia="Calibri" w:hAnsi="Times New Roman" w:cs="Times New Roman"/>
                <w:sz w:val="28"/>
                <w:szCs w:val="28"/>
                <w:lang w:val="en-US"/>
              </w:rPr>
              <w:t>Gennery</w:t>
            </w:r>
            <w:proofErr w:type="spellEnd"/>
            <w:r w:rsidRPr="00EA712B">
              <w:rPr>
                <w:rFonts w:ascii="Times New Roman" w:eastAsia="Calibri" w:hAnsi="Times New Roman" w:cs="Times New Roman"/>
                <w:sz w:val="28"/>
                <w:szCs w:val="28"/>
                <w:lang w:val="en-US"/>
              </w:rPr>
              <w:t xml:space="preserve"> A. X-Linked </w:t>
            </w:r>
            <w:proofErr w:type="spellStart"/>
            <w:r w:rsidRPr="00EA712B">
              <w:rPr>
                <w:rFonts w:ascii="Times New Roman" w:eastAsia="Calibri" w:hAnsi="Times New Roman" w:cs="Times New Roman"/>
                <w:sz w:val="28"/>
                <w:szCs w:val="28"/>
                <w:lang w:val="en-US"/>
              </w:rPr>
              <w:t>Agammaglobulinaemia</w:t>
            </w:r>
            <w:proofErr w:type="spellEnd"/>
            <w:r w:rsidRPr="00EA712B">
              <w:rPr>
                <w:rFonts w:ascii="Times New Roman" w:eastAsia="Calibri" w:hAnsi="Times New Roman" w:cs="Times New Roman"/>
                <w:sz w:val="28"/>
                <w:szCs w:val="28"/>
                <w:lang w:val="en-US"/>
              </w:rPr>
              <w:t xml:space="preserve">: Outcomes in the modern era. Clin Immunol., 2017, </w:t>
            </w:r>
            <w:r w:rsidRPr="00EA712B">
              <w:rPr>
                <w:rFonts w:ascii="Times New Roman" w:eastAsia="Calibri" w:hAnsi="Times New Roman" w:cs="Times New Roman"/>
                <w:sz w:val="28"/>
                <w:szCs w:val="28"/>
                <w:lang w:val="en-US"/>
              </w:rPr>
              <w:t>Vol.</w:t>
            </w:r>
            <w:r w:rsidRPr="00EA712B">
              <w:rPr>
                <w:rFonts w:ascii="Times New Roman" w:eastAsia="Calibri" w:hAnsi="Times New Roman" w:cs="Times New Roman"/>
                <w:sz w:val="28"/>
                <w:szCs w:val="28"/>
                <w:lang w:val="en-US"/>
              </w:rPr>
              <w:t>183, pp. 54–62.</w:t>
            </w:r>
          </w:p>
          <w:p w14:paraId="3C6D6FBE" w14:textId="6BFE449F" w:rsidR="00EA712B" w:rsidRPr="00EA712B" w:rsidRDefault="00EA712B" w:rsidP="00EA712B">
            <w:pPr>
              <w:spacing w:after="200"/>
              <w:rPr>
                <w:rFonts w:ascii="Times New Roman" w:eastAsia="Calibri" w:hAnsi="Times New Roman" w:cs="Times New Roman"/>
                <w:sz w:val="28"/>
                <w:szCs w:val="28"/>
                <w:lang w:val="en-US"/>
              </w:rPr>
            </w:pPr>
          </w:p>
        </w:tc>
        <w:tc>
          <w:tcPr>
            <w:tcW w:w="5103" w:type="dxa"/>
          </w:tcPr>
          <w:p w14:paraId="4D64B346" w14:textId="6AF22A85"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bookmarkStart w:id="0" w:name="_GoBack"/>
            <w:bookmarkEnd w:id="0"/>
          </w:p>
        </w:tc>
        <w:tc>
          <w:tcPr>
            <w:tcW w:w="4110" w:type="dxa"/>
          </w:tcPr>
          <w:p w14:paraId="2B3E69CF" w14:textId="67561205" w:rsidR="00EA712B" w:rsidRPr="00EA712B" w:rsidRDefault="00EA712B" w:rsidP="00EA712B">
            <w:pPr>
              <w:tabs>
                <w:tab w:val="left" w:pos="426"/>
              </w:tabs>
              <w:spacing w:after="200"/>
              <w:contextualSpacing/>
              <w:jc w:val="both"/>
              <w:rPr>
                <w:rFonts w:ascii="Times New Roman" w:eastAsia="Calibri" w:hAnsi="Times New Roman" w:cs="Times New Roman"/>
                <w:sz w:val="28"/>
                <w:szCs w:val="28"/>
              </w:rPr>
            </w:pPr>
            <w:r w:rsidRPr="00EA712B">
              <w:rPr>
                <w:rFonts w:ascii="Times New Roman" w:eastAsia="Calibri" w:hAnsi="Times New Roman" w:cs="Times New Roman"/>
                <w:sz w:val="28"/>
                <w:szCs w:val="28"/>
                <w:lang w:val="en-US"/>
              </w:rPr>
              <w:t>https://doi.org/10.1016/j.clim.2017.07.008</w:t>
            </w:r>
          </w:p>
        </w:tc>
      </w:tr>
      <w:tr w:rsidR="00EA712B" w:rsidRPr="00EA712B" w14:paraId="60EFAA0A" w14:textId="77777777" w:rsidTr="002B7DAA">
        <w:tc>
          <w:tcPr>
            <w:tcW w:w="509" w:type="dxa"/>
          </w:tcPr>
          <w:p w14:paraId="1BEB0135" w14:textId="5B71FB21" w:rsidR="00EA712B" w:rsidRPr="00EA712B" w:rsidRDefault="00EA712B" w:rsidP="00EA712B">
            <w:pPr>
              <w:spacing w:after="200"/>
              <w:rPr>
                <w:rFonts w:ascii="Times New Roman" w:eastAsia="Calibri" w:hAnsi="Times New Roman" w:cs="Times New Roman"/>
                <w:sz w:val="28"/>
                <w:szCs w:val="28"/>
              </w:rPr>
            </w:pPr>
            <w:r w:rsidRPr="00EA712B">
              <w:rPr>
                <w:rFonts w:ascii="Times New Roman" w:eastAsia="Calibri" w:hAnsi="Times New Roman" w:cs="Times New Roman"/>
                <w:sz w:val="28"/>
                <w:szCs w:val="28"/>
              </w:rPr>
              <w:t>10</w:t>
            </w:r>
          </w:p>
        </w:tc>
        <w:tc>
          <w:tcPr>
            <w:tcW w:w="5015" w:type="dxa"/>
          </w:tcPr>
          <w:p w14:paraId="6B0D1BF5" w14:textId="3D93D52C"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roofErr w:type="spellStart"/>
            <w:r w:rsidRPr="00EA712B">
              <w:rPr>
                <w:rFonts w:ascii="Times New Roman" w:eastAsia="Calibri" w:hAnsi="Times New Roman" w:cs="Times New Roman"/>
                <w:sz w:val="28"/>
                <w:szCs w:val="28"/>
                <w:lang w:val="en-US"/>
              </w:rPr>
              <w:t>Sizyakina</w:t>
            </w:r>
            <w:proofErr w:type="spellEnd"/>
            <w:r w:rsidRPr="00EA712B">
              <w:rPr>
                <w:rFonts w:ascii="Times New Roman" w:eastAsia="Calibri" w:hAnsi="Times New Roman" w:cs="Times New Roman"/>
                <w:sz w:val="28"/>
                <w:szCs w:val="28"/>
                <w:lang w:val="en-US"/>
              </w:rPr>
              <w:t xml:space="preserve"> L., </w:t>
            </w:r>
            <w:proofErr w:type="spellStart"/>
            <w:r w:rsidRPr="00EA712B">
              <w:rPr>
                <w:rFonts w:ascii="Times New Roman" w:eastAsia="Calibri" w:hAnsi="Times New Roman" w:cs="Times New Roman"/>
                <w:sz w:val="28"/>
                <w:szCs w:val="28"/>
                <w:lang w:val="en-US"/>
              </w:rPr>
              <w:t>Andreeva</w:t>
            </w:r>
            <w:proofErr w:type="spellEnd"/>
            <w:r w:rsidRPr="00EA712B">
              <w:rPr>
                <w:rFonts w:ascii="Times New Roman" w:eastAsia="Calibri" w:hAnsi="Times New Roman" w:cs="Times New Roman"/>
                <w:sz w:val="28"/>
                <w:szCs w:val="28"/>
                <w:lang w:val="en-US"/>
              </w:rPr>
              <w:t xml:space="preserve"> I., Antonova E., </w:t>
            </w:r>
            <w:proofErr w:type="spellStart"/>
            <w:r w:rsidRPr="00EA712B">
              <w:rPr>
                <w:rFonts w:ascii="Times New Roman" w:eastAsia="Calibri" w:hAnsi="Times New Roman" w:cs="Times New Roman"/>
                <w:sz w:val="28"/>
                <w:szCs w:val="28"/>
                <w:lang w:val="en-US"/>
              </w:rPr>
              <w:t>Kharitonova</w:t>
            </w:r>
            <w:proofErr w:type="spellEnd"/>
            <w:r w:rsidRPr="00EA712B">
              <w:rPr>
                <w:rFonts w:ascii="Times New Roman" w:eastAsia="Calibri" w:hAnsi="Times New Roman" w:cs="Times New Roman"/>
                <w:sz w:val="28"/>
                <w:szCs w:val="28"/>
                <w:lang w:val="en-US"/>
              </w:rPr>
              <w:t xml:space="preserve"> M. Effect of replacement therapy on the </w:t>
            </w:r>
            <w:r w:rsidRPr="00EA712B">
              <w:rPr>
                <w:rFonts w:ascii="Times New Roman" w:eastAsia="Calibri" w:hAnsi="Times New Roman" w:cs="Times New Roman"/>
                <w:sz w:val="28"/>
                <w:szCs w:val="28"/>
              </w:rPr>
              <w:t>Т</w:t>
            </w:r>
            <w:r w:rsidRPr="00EA712B">
              <w:rPr>
                <w:rFonts w:ascii="Times New Roman" w:eastAsia="Calibri" w:hAnsi="Times New Roman" w:cs="Times New Roman"/>
                <w:sz w:val="28"/>
                <w:szCs w:val="28"/>
                <w:lang w:val="en-US"/>
              </w:rPr>
              <w:t>-cell function in patients with primary agammaglobulinemia. Journal of Clinical Immunology., 2014, V</w:t>
            </w:r>
            <w:r w:rsidRPr="00EA712B">
              <w:rPr>
                <w:rFonts w:ascii="Times New Roman" w:eastAsia="Calibri" w:hAnsi="Times New Roman" w:cs="Times New Roman"/>
                <w:sz w:val="28"/>
                <w:szCs w:val="28"/>
                <w:lang w:val="en-US"/>
              </w:rPr>
              <w:t>ol</w:t>
            </w:r>
            <w:r w:rsidRPr="00EA712B">
              <w:rPr>
                <w:rFonts w:ascii="Times New Roman" w:eastAsia="Calibri" w:hAnsi="Times New Roman" w:cs="Times New Roman"/>
                <w:sz w:val="28"/>
                <w:szCs w:val="28"/>
                <w:lang w:val="en-US"/>
              </w:rPr>
              <w:t>. 34, pp. 696-747.</w:t>
            </w:r>
          </w:p>
          <w:p w14:paraId="219A06D4" w14:textId="16745EBA"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r w:rsidRPr="00EA712B">
              <w:rPr>
                <w:rFonts w:ascii="Times New Roman" w:eastAsia="Calibri" w:hAnsi="Times New Roman" w:cs="Times New Roman"/>
                <w:sz w:val="28"/>
                <w:szCs w:val="28"/>
                <w:lang w:val="en-US"/>
              </w:rPr>
              <w:t xml:space="preserve"> </w:t>
            </w:r>
          </w:p>
        </w:tc>
        <w:tc>
          <w:tcPr>
            <w:tcW w:w="5103" w:type="dxa"/>
          </w:tcPr>
          <w:p w14:paraId="2D04ABD0" w14:textId="2F10832A"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
        </w:tc>
        <w:tc>
          <w:tcPr>
            <w:tcW w:w="4110" w:type="dxa"/>
          </w:tcPr>
          <w:p w14:paraId="27401844" w14:textId="488381E4" w:rsidR="00EA712B" w:rsidRPr="00EA712B" w:rsidRDefault="00EA712B" w:rsidP="00EA712B">
            <w:pPr>
              <w:tabs>
                <w:tab w:val="left" w:pos="426"/>
              </w:tabs>
              <w:spacing w:after="200"/>
              <w:contextualSpacing/>
              <w:jc w:val="both"/>
              <w:rPr>
                <w:rFonts w:ascii="Times New Roman" w:eastAsia="Calibri" w:hAnsi="Times New Roman" w:cs="Times New Roman"/>
                <w:sz w:val="28"/>
                <w:szCs w:val="28"/>
              </w:rPr>
            </w:pPr>
            <w:r w:rsidRPr="00EA712B">
              <w:rPr>
                <w:rFonts w:ascii="Times New Roman" w:eastAsia="Calibri" w:hAnsi="Times New Roman" w:cs="Times New Roman"/>
                <w:sz w:val="28"/>
                <w:szCs w:val="28"/>
                <w:lang w:val="en-US"/>
              </w:rPr>
              <w:t>https://doi.org/10.1007/s10875-014-0065-9</w:t>
            </w:r>
          </w:p>
        </w:tc>
      </w:tr>
    </w:tbl>
    <w:p w14:paraId="726CEE29" w14:textId="77777777" w:rsidR="00421CD3" w:rsidRDefault="00421CD3" w:rsidP="00A27650">
      <w:pPr>
        <w:ind w:left="-567"/>
      </w:pPr>
    </w:p>
    <w:sectPr w:rsidR="00421CD3" w:rsidSect="003858A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B789C"/>
    <w:multiLevelType w:val="hybridMultilevel"/>
    <w:tmpl w:val="81726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5D7"/>
    <w:rsid w:val="002B7DAA"/>
    <w:rsid w:val="003455A0"/>
    <w:rsid w:val="003858A2"/>
    <w:rsid w:val="003C384B"/>
    <w:rsid w:val="004151D6"/>
    <w:rsid w:val="00421CD3"/>
    <w:rsid w:val="004619A0"/>
    <w:rsid w:val="005314EC"/>
    <w:rsid w:val="006015D7"/>
    <w:rsid w:val="00951544"/>
    <w:rsid w:val="00995095"/>
    <w:rsid w:val="00A27650"/>
    <w:rsid w:val="00CB6333"/>
    <w:rsid w:val="00D71A44"/>
    <w:rsid w:val="00DA4B9E"/>
    <w:rsid w:val="00EA712B"/>
    <w:rsid w:val="00EE6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ABFD"/>
  <w15:chartTrackingRefBased/>
  <w15:docId w15:val="{00FC7EAC-23F0-49B7-824B-64B748A4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27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27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27650"/>
    <w:rPr>
      <w:color w:val="0563C1" w:themeColor="hyperlink"/>
      <w:u w:val="single"/>
    </w:rPr>
  </w:style>
  <w:style w:type="character" w:styleId="a5">
    <w:name w:val="Unresolved Mention"/>
    <w:basedOn w:val="a0"/>
    <w:uiPriority w:val="99"/>
    <w:semiHidden/>
    <w:unhideWhenUsed/>
    <w:rsid w:val="00A27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10875-019-00737-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55/2018/3724630" TargetMode="External"/><Relationship Id="rId5" Type="http://schemas.openxmlformats.org/officeDocument/2006/relationships/hyperlink" Target="https://www.hindawi.com/6850370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441</Words>
  <Characters>2519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Darya Darya</dc:creator>
  <cp:keywords/>
  <dc:description/>
  <cp:lastModifiedBy>Darya Darya</cp:lastModifiedBy>
  <cp:revision>7</cp:revision>
  <dcterms:created xsi:type="dcterms:W3CDTF">2020-03-30T10:37:00Z</dcterms:created>
  <dcterms:modified xsi:type="dcterms:W3CDTF">2020-03-30T15:21:00Z</dcterms:modified>
</cp:coreProperties>
</file>