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FD" w:rsidRPr="00E509FD" w:rsidRDefault="00E509FD" w:rsidP="003425C4">
      <w:pPr>
        <w:ind w:right="28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D9E82C2" wp14:editId="050B23EC">
            <wp:extent cx="5940425" cy="3783965"/>
            <wp:effectExtent l="0" t="0" r="3175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09FD" w:rsidRDefault="00E509FD" w:rsidP="00E509FD">
      <w:pPr>
        <w:ind w:right="282"/>
        <w:jc w:val="both"/>
        <w:rPr>
          <w:b/>
          <w:sz w:val="28"/>
          <w:szCs w:val="28"/>
          <w:lang w:val="en-US"/>
        </w:rPr>
      </w:pPr>
      <w:r w:rsidRPr="00E509FD">
        <w:rPr>
          <w:b/>
          <w:sz w:val="28"/>
          <w:szCs w:val="28"/>
          <w:lang w:val="en-US"/>
        </w:rPr>
        <w:t>Figure</w:t>
      </w:r>
      <w:r w:rsidR="007F05E6">
        <w:rPr>
          <w:b/>
          <w:sz w:val="28"/>
          <w:szCs w:val="28"/>
          <w:lang w:val="en-US"/>
        </w:rPr>
        <w:t xml:space="preserve"> 1</w:t>
      </w:r>
      <w:r w:rsidRPr="00E509FD">
        <w:rPr>
          <w:b/>
          <w:sz w:val="28"/>
          <w:szCs w:val="28"/>
          <w:lang w:val="en-US"/>
        </w:rPr>
        <w:t>a. Functional groups of proteins obtained from lysates of microvesicles produced by the NK-92 natural killer cell line: molecular function (*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0.05, **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0.005, ***</w:t>
      </w:r>
      <w:r w:rsidRPr="00E509FD">
        <w:rPr>
          <w:b/>
          <w:i/>
          <w:sz w:val="28"/>
          <w:szCs w:val="28"/>
          <w:lang w:val="en-US"/>
        </w:rPr>
        <w:t>P</w:t>
      </w:r>
      <w:r w:rsidRPr="00E509FD">
        <w:rPr>
          <w:b/>
          <w:sz w:val="28"/>
          <w:szCs w:val="28"/>
          <w:lang w:val="en-US"/>
        </w:rPr>
        <w:t xml:space="preserve"> &lt; 0.001; DAVID 6.8 and REVIGO).</w:t>
      </w:r>
    </w:p>
    <w:p w:rsidR="003425C4" w:rsidRDefault="003425C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3425C4" w:rsidRDefault="003425C4" w:rsidP="00E509FD">
      <w:pPr>
        <w:ind w:right="282"/>
        <w:jc w:val="both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5D276DF3" wp14:editId="4CB1DB8B">
            <wp:extent cx="5940425" cy="4033520"/>
            <wp:effectExtent l="0" t="0" r="3175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25C4" w:rsidRPr="003425C4" w:rsidRDefault="007F05E6" w:rsidP="003425C4">
      <w:pPr>
        <w:ind w:right="28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Figure 1</w:t>
      </w:r>
      <w:r w:rsidR="003425C4" w:rsidRPr="003425C4">
        <w:rPr>
          <w:b/>
          <w:sz w:val="28"/>
          <w:szCs w:val="28"/>
          <w:lang w:val="en-US"/>
        </w:rPr>
        <w:t>b. Functional groups of proteins obtained from lysates of microvesicles produced by the NK-92 natural killer cell line: cellular component (*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0.05, 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0.005, ***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0.001; DAVID 6.8 and REVIGO).</w:t>
      </w:r>
    </w:p>
    <w:p w:rsidR="003425C4" w:rsidRDefault="003425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425C4" w:rsidRDefault="003425C4" w:rsidP="00E509FD">
      <w:pPr>
        <w:ind w:right="282"/>
        <w:jc w:val="both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E297A44" wp14:editId="18448AA0">
            <wp:extent cx="5940425" cy="3991610"/>
            <wp:effectExtent l="0" t="0" r="317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25C4" w:rsidRPr="003425C4" w:rsidRDefault="007F05E6" w:rsidP="003425C4">
      <w:pPr>
        <w:ind w:right="28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Figure 1</w:t>
      </w:r>
      <w:r w:rsidR="003425C4" w:rsidRPr="003425C4">
        <w:rPr>
          <w:b/>
          <w:sz w:val="28"/>
          <w:szCs w:val="28"/>
          <w:lang w:val="en-US"/>
        </w:rPr>
        <w:t>c. Functional groups of proteins obtained from lysates of microvesicles produced by the NK-92 natural killer cell line: biological process (*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0.05, 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0.005, ***</w:t>
      </w:r>
      <w:r w:rsidR="003425C4" w:rsidRPr="003425C4">
        <w:rPr>
          <w:b/>
          <w:i/>
          <w:sz w:val="28"/>
          <w:szCs w:val="28"/>
          <w:lang w:val="en-US"/>
        </w:rPr>
        <w:t>P</w:t>
      </w:r>
      <w:r w:rsidR="003425C4" w:rsidRPr="003425C4">
        <w:rPr>
          <w:b/>
          <w:sz w:val="28"/>
          <w:szCs w:val="28"/>
          <w:lang w:val="en-US"/>
        </w:rPr>
        <w:t xml:space="preserve"> &lt; 0.001; DAVID 6.8 and REVIGO).</w:t>
      </w:r>
    </w:p>
    <w:p w:rsidR="007C5CBC" w:rsidRDefault="007C5C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7C5CBC" w:rsidRDefault="007C5CBC" w:rsidP="007C5CB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EFA07A" wp14:editId="20EC3533">
            <wp:extent cx="5940425" cy="2534285"/>
            <wp:effectExtent l="0" t="0" r="317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1A6F1" wp14:editId="402E34FB">
            <wp:extent cx="5940425" cy="2573020"/>
            <wp:effectExtent l="0" t="0" r="3175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B35B52" wp14:editId="46C34656">
            <wp:extent cx="5940425" cy="2604135"/>
            <wp:effectExtent l="0" t="0" r="3175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5CBC" w:rsidRPr="007C5CBC" w:rsidRDefault="007C5CBC" w:rsidP="007C5CBC">
      <w:pPr>
        <w:ind w:right="282"/>
        <w:jc w:val="both"/>
        <w:rPr>
          <w:b/>
          <w:sz w:val="28"/>
          <w:szCs w:val="28"/>
          <w:lang w:val="en-US"/>
        </w:rPr>
      </w:pPr>
      <w:r w:rsidRPr="007C5CBC">
        <w:rPr>
          <w:b/>
          <w:sz w:val="28"/>
          <w:szCs w:val="28"/>
          <w:lang w:val="en-US"/>
        </w:rPr>
        <w:t xml:space="preserve">Figure </w:t>
      </w:r>
      <w:r w:rsidR="007F05E6">
        <w:rPr>
          <w:b/>
          <w:sz w:val="28"/>
          <w:szCs w:val="28"/>
          <w:lang w:val="en-US"/>
        </w:rPr>
        <w:t>2</w:t>
      </w:r>
      <w:r w:rsidRPr="007C5CBC">
        <w:rPr>
          <w:b/>
          <w:sz w:val="28"/>
          <w:szCs w:val="28"/>
          <w:lang w:val="en-US"/>
        </w:rPr>
        <w:t>. Most common clusters of proteins obtained from lysates of microvesicles produced by the NK-92 natural killer cell line: a. Molecular function; b. Cellular component; c. Biological process (percentage of the total number of identified proteins; 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0.05, **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0.005, ***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0.001; DAVID 6.8).</w:t>
      </w:r>
    </w:p>
    <w:p w:rsidR="007C5CBC" w:rsidRDefault="007C5C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425C4" w:rsidRPr="007C5CBC" w:rsidRDefault="007C5CBC" w:rsidP="00E509FD">
      <w:pPr>
        <w:ind w:right="282"/>
        <w:jc w:val="both"/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24066B3B" wp14:editId="254C6F02">
            <wp:extent cx="5940425" cy="3015128"/>
            <wp:effectExtent l="0" t="0" r="3175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F05E6">
        <w:rPr>
          <w:b/>
          <w:sz w:val="28"/>
          <w:szCs w:val="28"/>
          <w:lang w:val="en-US"/>
        </w:rPr>
        <w:t>Figure 3</w:t>
      </w:r>
      <w:bookmarkStart w:id="0" w:name="_GoBack"/>
      <w:bookmarkEnd w:id="0"/>
      <w:r w:rsidRPr="007C5CBC">
        <w:rPr>
          <w:b/>
          <w:sz w:val="28"/>
          <w:szCs w:val="28"/>
          <w:lang w:val="en-US"/>
        </w:rPr>
        <w:t>. Specific functional groups of proteins obtained from lysates of microvesicles produced by the NK-92 natural killer cell line (</w:t>
      </w:r>
      <w:r w:rsidRPr="007C5CBC">
        <w:rPr>
          <w:b/>
          <w:i/>
          <w:sz w:val="28"/>
          <w:szCs w:val="28"/>
          <w:lang w:val="en-US"/>
        </w:rPr>
        <w:t>P</w:t>
      </w:r>
      <w:r w:rsidRPr="007C5CBC">
        <w:rPr>
          <w:b/>
          <w:sz w:val="28"/>
          <w:szCs w:val="28"/>
          <w:lang w:val="en-US"/>
        </w:rPr>
        <w:t xml:space="preserve"> &lt; 0.001; EVpedia).</w:t>
      </w:r>
    </w:p>
    <w:sectPr w:rsidR="003425C4" w:rsidRPr="007C5CBC" w:rsidSect="00A0795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E6"/>
    <w:rsid w:val="00084936"/>
    <w:rsid w:val="00187743"/>
    <w:rsid w:val="001D34E4"/>
    <w:rsid w:val="001D4790"/>
    <w:rsid w:val="002312AC"/>
    <w:rsid w:val="00261A8B"/>
    <w:rsid w:val="00272DEC"/>
    <w:rsid w:val="00275DAC"/>
    <w:rsid w:val="002D59EC"/>
    <w:rsid w:val="002E47D3"/>
    <w:rsid w:val="00331FF4"/>
    <w:rsid w:val="003425C4"/>
    <w:rsid w:val="00414712"/>
    <w:rsid w:val="00467DFF"/>
    <w:rsid w:val="005646EB"/>
    <w:rsid w:val="005764BB"/>
    <w:rsid w:val="005E123B"/>
    <w:rsid w:val="00614D0B"/>
    <w:rsid w:val="00687AC4"/>
    <w:rsid w:val="00691DF6"/>
    <w:rsid w:val="006A30E7"/>
    <w:rsid w:val="006B0D81"/>
    <w:rsid w:val="006B23D6"/>
    <w:rsid w:val="006B68B8"/>
    <w:rsid w:val="00706F5F"/>
    <w:rsid w:val="00717285"/>
    <w:rsid w:val="00724F26"/>
    <w:rsid w:val="007C5CBC"/>
    <w:rsid w:val="007F05E6"/>
    <w:rsid w:val="00834FD0"/>
    <w:rsid w:val="008B76CD"/>
    <w:rsid w:val="008F7C45"/>
    <w:rsid w:val="00920731"/>
    <w:rsid w:val="009E7C7D"/>
    <w:rsid w:val="00A01E05"/>
    <w:rsid w:val="00A0795C"/>
    <w:rsid w:val="00AA0762"/>
    <w:rsid w:val="00AD6DE2"/>
    <w:rsid w:val="00B01531"/>
    <w:rsid w:val="00B1628B"/>
    <w:rsid w:val="00B871F7"/>
    <w:rsid w:val="00BC4617"/>
    <w:rsid w:val="00BD082E"/>
    <w:rsid w:val="00C23EF6"/>
    <w:rsid w:val="00CF3632"/>
    <w:rsid w:val="00D376E6"/>
    <w:rsid w:val="00D91DEB"/>
    <w:rsid w:val="00DA3242"/>
    <w:rsid w:val="00DF00AA"/>
    <w:rsid w:val="00DF5D75"/>
    <w:rsid w:val="00E509FD"/>
    <w:rsid w:val="00E61E29"/>
    <w:rsid w:val="00EB70D7"/>
    <w:rsid w:val="00EE3CF7"/>
    <w:rsid w:val="00EF2126"/>
    <w:rsid w:val="00F22516"/>
    <w:rsid w:val="00F77BDF"/>
    <w:rsid w:val="00F952F5"/>
    <w:rsid w:val="00FA214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12D03-60C3-411C-BB4B-35EC8178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7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7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Гл.1"/>
    <w:basedOn w:val="1"/>
    <w:link w:val="12"/>
    <w:qFormat/>
    <w:rsid w:val="00687AC4"/>
    <w:pPr>
      <w:spacing w:before="0" w:line="360" w:lineRule="auto"/>
      <w:jc w:val="center"/>
    </w:pPr>
    <w:rPr>
      <w:b/>
      <w:sz w:val="28"/>
      <w:szCs w:val="28"/>
      <w:lang w:val="en-US"/>
    </w:rPr>
  </w:style>
  <w:style w:type="character" w:customStyle="1" w:styleId="12">
    <w:name w:val="Заголовок Гл.1 Знак"/>
    <w:basedOn w:val="10"/>
    <w:link w:val="11"/>
    <w:rsid w:val="00687AC4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rsid w:val="0068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оловокГл.2"/>
    <w:basedOn w:val="2"/>
    <w:link w:val="22"/>
    <w:qFormat/>
    <w:rsid w:val="00687AC4"/>
    <w:pPr>
      <w:spacing w:before="0"/>
    </w:pPr>
    <w:rPr>
      <w:sz w:val="28"/>
    </w:rPr>
  </w:style>
  <w:style w:type="character" w:customStyle="1" w:styleId="22">
    <w:name w:val="ЗаголовокГл.2 Знак"/>
    <w:basedOn w:val="20"/>
    <w:link w:val="21"/>
    <w:rsid w:val="00687AC4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0"/>
    <w:link w:val="2"/>
    <w:semiHidden/>
    <w:rsid w:val="00687A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rsid w:val="00FA21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214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92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8224">
                                              <w:marLeft w:val="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4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06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7;&#1077;&#1075;&#1077;&#1085;&#1075;\AppData\Local\Temp\7zO4128E015\C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7;&#1077;&#1075;&#1077;&#1085;&#1075;\Desktop\&#1055;&#1080;&#1096;&#1077;&#1084;%20&#1089;&#1090;&#1072;&#1090;&#1100;&#1080;\&#1057;&#1090;&#1072;&#1090;&#1100;&#1103;%20&#1087;&#1088;&#1086;%20&#1052;&#1040;&#1051;&#1044;&#1048;_NK-92\BP%20(&#1040;&#1074;&#1090;&#1086;&#1089;&#1086;&#1093;&#1088;&#1072;&#1085;&#1077;&#1085;&#1085;&#1099;&#1081;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77;&#1077;&#1075;&#1077;&#1085;&#1075;\Desktop\&#1055;&#1080;&#1096;&#1077;&#1084;%20&#1089;&#1090;&#1072;&#1090;&#1100;&#1080;\&#1057;&#1090;&#1072;&#1090;&#1100;&#1103;%20&#1087;&#1088;&#1086;%20&#1052;&#1040;&#1051;&#1044;&#1048;_NK-92\All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77;&#1077;&#1075;&#1077;&#1085;&#1075;\Desktop\&#1055;&#1080;&#1096;&#1077;&#1084;%20&#1089;&#1090;&#1072;&#1090;&#1100;&#1080;\&#1057;&#1090;&#1072;&#1090;&#1100;&#1103;%20&#1087;&#1088;&#1086;%20&#1052;&#1040;&#1051;&#1044;&#1048;_NK-92\All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GO</a:t>
            </a:r>
            <a:r>
              <a:rPr lang="en-US" baseline="0"/>
              <a:t> Molecular function</a:t>
            </a:r>
            <a:endParaRPr lang="ru-RU"/>
          </a:p>
        </c:rich>
      </c:tx>
      <c:layout>
        <c:manualLayout>
          <c:xMode val="edge"/>
          <c:yMode val="edge"/>
          <c:x val="1.7771455746011433E-3"/>
          <c:y val="0.91368815514942658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divot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pattFill prst="wdUpDiag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pattFill prst="lgConfetti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pattFill prst="diagBrick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pattFill prst="lgCheck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pattFill prst="dashDnDiag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6"/>
            <c:bubble3D val="0"/>
            <c:spPr>
              <a:pattFill prst="trellis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7"/>
            <c:bubble3D val="0"/>
            <c:spPr>
              <a:pattFill prst="ltUpDiag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8"/>
            <c:bubble3D val="0"/>
            <c:spPr>
              <a:pattFill prst="pct8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9"/>
            <c:bubble3D val="0"/>
            <c:spPr>
              <a:pattFill prst="pct1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Pt>
            <c:idx val="10"/>
            <c:bubble3D val="0"/>
            <c:spPr>
              <a:pattFill prst="lgConfetti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 w="6350"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0.42341347630851328"/>
                  <c:y val="-2.5626822658243405E-2"/>
                </c:manualLayout>
              </c:layout>
              <c:tx>
                <c:rich>
                  <a:bodyPr/>
                  <a:lstStyle/>
                  <a:p>
                    <a:fld id="{AD79BCB4-BE39-4ACF-BFF7-75A944D54DF5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DAA13B01-DF99-4101-B9BE-8969D6FEBC31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7934541720499791"/>
                  <c:y val="-9.0514315010841798E-2"/>
                </c:manualLayout>
              </c:layout>
              <c:tx>
                <c:rich>
                  <a:bodyPr/>
                  <a:lstStyle/>
                  <a:p>
                    <a:fld id="{85FFFD77-8980-4A80-A6FC-26712F413EBE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49C0CC3D-89AD-4690-A984-6E709B8948C2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3.4475311109895414E-2"/>
                  <c:y val="-5.5449244377260364E-2"/>
                </c:manualLayout>
              </c:layout>
              <c:tx>
                <c:rich>
                  <a:bodyPr/>
                  <a:lstStyle/>
                  <a:p>
                    <a:fld id="{81ED6829-9397-43B1-A5C5-076B46C25069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D6CC98A4-1C23-4F4D-8030-FCD035FB7EBE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8.0936296645442038E-2"/>
                  <c:y val="-0.105513925208082"/>
                </c:manualLayout>
              </c:layout>
              <c:tx>
                <c:rich>
                  <a:bodyPr/>
                  <a:lstStyle/>
                  <a:p>
                    <a:fld id="{FB28E69C-6A9B-40E3-B241-01BD9C1FAC6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6C7E3A56-2C64-4BD0-A603-943E7C78FDAE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2.8861655521280043E-2"/>
                  <c:y val="-9.2154657878706601E-3"/>
                </c:manualLayout>
              </c:layout>
              <c:tx>
                <c:rich>
                  <a:bodyPr/>
                  <a:lstStyle/>
                  <a:p>
                    <a:fld id="{50D98DD0-7BF2-4F8A-A808-881565F9CE7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F1592FB5-F642-4FC6-859F-43A8BA729B5F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3768038482095"/>
                      <c:h val="0.1334116462493707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0.20253803389488126"/>
                  <c:y val="-1.1935099822540643E-2"/>
                </c:manualLayout>
              </c:layout>
              <c:tx>
                <c:rich>
                  <a:bodyPr/>
                  <a:lstStyle/>
                  <a:p>
                    <a:fld id="{113D8BE8-912A-45C1-8697-AB6CA49FC80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68AD9D42-E404-4A39-8F0C-CD13F4154206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.15645193736138407"/>
                  <c:y val="0.18295729479527426"/>
                </c:manualLayout>
              </c:layout>
              <c:tx>
                <c:rich>
                  <a:bodyPr/>
                  <a:lstStyle/>
                  <a:p>
                    <a:fld id="{DBF1A279-69FF-445F-8D21-84AF8F465C1C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E3343F58-DCF6-4550-BED1-984A2E4AFA90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0.16209530462887756"/>
                  <c:y val="0.28476029773002659"/>
                </c:manualLayout>
              </c:layout>
              <c:tx>
                <c:rich>
                  <a:bodyPr/>
                  <a:lstStyle/>
                  <a:p>
                    <a:fld id="{BC4F6AFD-25A2-45FD-B803-6634BE0D7FF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D050B337-B01C-4A49-BE1F-2CFD090074DB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0.14104369636852565"/>
                  <c:y val="0.4158645759144178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7500089C-9429-4681-8E53-1AF25104B50E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
</a:t>
                    </a:r>
                    <a:fld id="{F9D0468E-EC67-4081-9045-CDD7B11B8BD1}" type="PERCENTAGE">
                      <a:rPr lang="en-US" baseline="0"/>
                      <a:pPr>
                        <a:defRPr/>
                      </a:pPr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36299170513893"/>
                      <c:h val="0.102064104715556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6.1917792077166037E-2"/>
                  <c:y val="0.34394530604802104"/>
                </c:manualLayout>
              </c:layout>
              <c:tx>
                <c:rich>
                  <a:bodyPr/>
                  <a:lstStyle/>
                  <a:p>
                    <a:fld id="{E10CC774-5B32-46F0-B13E-0FA8BED0832A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B3F0AA6F-C15F-4E11-A9EF-A3D7C395FBC5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0.12225076488635073"/>
                  <c:y val="-6.006345196110429E-2"/>
                </c:manualLayout>
              </c:layout>
              <c:tx>
                <c:rich>
                  <a:bodyPr/>
                  <a:lstStyle/>
                  <a:p>
                    <a:fld id="{2C123550-498E-4F6B-B2C9-5FC6E790347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0C4AAB2F-1C02-425C-B16B-A03AD9E6C6CF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'[MF.xlsx]Белки с высоким % и p'!$B$1:$B$11</c:f>
              <c:strCache>
                <c:ptCount val="11"/>
                <c:pt idx="0">
                  <c:v>modified amino acid binding</c:v>
                </c:pt>
                <c:pt idx="1">
                  <c:v>GDP binding</c:v>
                </c:pt>
                <c:pt idx="2">
                  <c:v>anion channel activity</c:v>
                </c:pt>
                <c:pt idx="3">
                  <c:v>syntaxin binding</c:v>
                </c:pt>
                <c:pt idx="4">
                  <c:v>SNARE binding</c:v>
                </c:pt>
                <c:pt idx="5">
                  <c:v>magnesium ion binding</c:v>
                </c:pt>
                <c:pt idx="6">
                  <c:v>transferase activity, transferring acyl groups other than amino-acyl groups</c:v>
                </c:pt>
                <c:pt idx="7">
                  <c:v>carboxylic acid binding</c:v>
                </c:pt>
                <c:pt idx="8">
                  <c:v>anion binding</c:v>
                </c:pt>
                <c:pt idx="9">
                  <c:v>carbohydrate derivative binding</c:v>
                </c:pt>
                <c:pt idx="10">
                  <c:v>protein binding</c:v>
                </c:pt>
              </c:strCache>
            </c:strRef>
          </c:cat>
          <c:val>
            <c:numRef>
              <c:f>'[MF.xlsx]Белки с высоким % и p'!$F$1:$F$11</c:f>
              <c:numCache>
                <c:formatCode>General</c:formatCode>
                <c:ptCount val="11"/>
                <c:pt idx="0">
                  <c:v>1.1494252873563142E-2</c:v>
                </c:pt>
                <c:pt idx="1">
                  <c:v>1.2931034482758574E-2</c:v>
                </c:pt>
                <c:pt idx="2">
                  <c:v>1.2931034482758574E-2</c:v>
                </c:pt>
                <c:pt idx="3">
                  <c:v>1.5804597701149441E-2</c:v>
                </c:pt>
                <c:pt idx="4">
                  <c:v>2.0114942528735632E-2</c:v>
                </c:pt>
                <c:pt idx="5">
                  <c:v>2.2988505747126388E-2</c:v>
                </c:pt>
                <c:pt idx="6">
                  <c:v>2.4425287356321827E-2</c:v>
                </c:pt>
                <c:pt idx="7">
                  <c:v>2.5862068965517258E-2</c:v>
                </c:pt>
                <c:pt idx="8">
                  <c:v>3.4482758620689641E-2</c:v>
                </c:pt>
                <c:pt idx="9">
                  <c:v>0.15660919540229898</c:v>
                </c:pt>
                <c:pt idx="10">
                  <c:v>0.66235632183908066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GO</a:t>
            </a:r>
            <a:r>
              <a:rPr lang="en-US" baseline="0"/>
              <a:t> C</a:t>
            </a:r>
            <a:r>
              <a:rPr lang="en-US"/>
              <a:t>ellular component</a:t>
            </a:r>
            <a:endParaRPr lang="ru-RU"/>
          </a:p>
        </c:rich>
      </c:tx>
      <c:layout>
        <c:manualLayout>
          <c:xMode val="edge"/>
          <c:yMode val="edge"/>
          <c:x val="1.2177579886960951E-3"/>
          <c:y val="0.92063755727007679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'[CC.xlsx]Белки с высоким % и p'!$F$1:$F$11</c:f>
              <c:strCache>
                <c:ptCount val="11"/>
                <c:pt idx="0">
                  <c:v>0,201079137</c:v>
                </c:pt>
                <c:pt idx="1">
                  <c:v>0,16294964</c:v>
                </c:pt>
                <c:pt idx="2">
                  <c:v>0,176978417</c:v>
                </c:pt>
                <c:pt idx="3">
                  <c:v>0,18705036</c:v>
                </c:pt>
                <c:pt idx="4">
                  <c:v>0,107194245</c:v>
                </c:pt>
                <c:pt idx="5">
                  <c:v>0,015107914</c:v>
                </c:pt>
                <c:pt idx="6">
                  <c:v>0,014748201</c:v>
                </c:pt>
                <c:pt idx="7">
                  <c:v>0,024460432</c:v>
                </c:pt>
                <c:pt idx="8">
                  <c:v>0,073741007</c:v>
                </c:pt>
                <c:pt idx="9">
                  <c:v>0,01942446</c:v>
                </c:pt>
                <c:pt idx="10">
                  <c:v>0,017266187</c:v>
                </c:pt>
              </c:strCache>
            </c:strRef>
          </c:tx>
          <c:dPt>
            <c:idx val="0"/>
            <c:bubble3D val="0"/>
            <c:spPr>
              <a:pattFill prst="pct3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diagBrick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otDmnd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pattFill prst="ltHorz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pattFill prst="pct6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pattFill prst="dotDmnd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pattFill prst="dashUp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9"/>
            <c:bubble3D val="0"/>
            <c:spPr>
              <a:pattFill prst="pct5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10"/>
            <c:bubble3D val="0"/>
            <c:spPr>
              <a:pattFill prst="lgCheck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14389307162366313"/>
                  <c:y val="-0.1192154743251552"/>
                </c:manualLayout>
              </c:layout>
              <c:tx>
                <c:rich>
                  <a:bodyPr/>
                  <a:lstStyle/>
                  <a:p>
                    <a:fld id="{98A4A83D-B7FF-439A-A681-B336129DB82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D6F5704C-2E83-459E-9C99-109C8E167CC2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163999208810802E-2"/>
                  <c:y val="1.9391251313988774E-2"/>
                </c:manualLayout>
              </c:layout>
              <c:tx>
                <c:rich>
                  <a:bodyPr/>
                  <a:lstStyle/>
                  <a:p>
                    <a:fld id="{D5522143-CC36-4788-AC2A-742210C39EFE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EE2C10CA-DE97-4575-9AB5-283D0F573E3F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3650538471573841E-2"/>
                  <c:y val="-3.1012614292231103E-3"/>
                </c:manualLayout>
              </c:layout>
              <c:tx>
                <c:rich>
                  <a:bodyPr/>
                  <a:lstStyle/>
                  <a:p>
                    <a:fld id="{9EDDC752-2910-4CFF-9465-ADCF2563F62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2E9D6A06-5A7D-4201-AF49-98787F681558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8.7328768564538736E-2"/>
                  <c:y val="1.4396110593228742E-2"/>
                </c:manualLayout>
              </c:layout>
              <c:tx>
                <c:rich>
                  <a:bodyPr/>
                  <a:lstStyle/>
                  <a:p>
                    <a:fld id="{14C02C52-267F-4A8D-A814-6A3E27A2F12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B3D2867C-92FD-4924-A841-CB7D7305322B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3672052083815553"/>
                  <c:y val="0.19973968146928736"/>
                </c:manualLayout>
              </c:layout>
              <c:tx>
                <c:rich>
                  <a:bodyPr/>
                  <a:lstStyle/>
                  <a:p>
                    <a:fld id="{DA985180-E266-4E5A-8B89-26B1CE3D12E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13046296-5BAB-4191-B50A-078D6B0F90F6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9.5726989230568521E-2"/>
                  <c:y val="0.17071267776036811"/>
                </c:manualLayout>
              </c:layout>
              <c:tx>
                <c:rich>
                  <a:bodyPr/>
                  <a:lstStyle/>
                  <a:p>
                    <a:fld id="{88D81950-6BE6-4AB4-B432-3140CA74746F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F342608B-2EEF-49F6-AAF3-9E4F7B24D103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12830714974096971"/>
                  <c:y val="6.8339316527499555E-2"/>
                </c:manualLayout>
              </c:layout>
              <c:tx>
                <c:rich>
                  <a:bodyPr/>
                  <a:lstStyle/>
                  <a:p>
                    <a:fld id="{7BDDEDE8-3666-40D1-98D2-7C8573A35AA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70FA8E95-DD7E-45BD-B001-EEFE18F0D5E5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15182297562884811"/>
                  <c:y val="-4.0084095281540692E-3"/>
                </c:manualLayout>
              </c:layout>
              <c:tx>
                <c:rich>
                  <a:bodyPr/>
                  <a:lstStyle/>
                  <a:p>
                    <a:fld id="{1351AEC7-084B-416C-870B-CBB924F3C28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2808112C-EE29-4030-B0D9-432EB8CEA092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0.1344826338182874"/>
                  <c:y val="-2.4301850492869759E-2"/>
                </c:manualLayout>
              </c:layout>
              <c:tx>
                <c:rich>
                  <a:bodyPr/>
                  <a:lstStyle/>
                  <a:p>
                    <a:fld id="{70BE1D31-32A2-4832-A4A2-097A0B5EDD51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DE94F2BC-37B9-43F6-8B46-C1C944D8B977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6.5333204274104967E-2"/>
                  <c:y val="-4.456330946666931E-2"/>
                </c:manualLayout>
              </c:layout>
              <c:tx>
                <c:rich>
                  <a:bodyPr/>
                  <a:lstStyle/>
                  <a:p>
                    <a:fld id="{1BC7051A-2034-4958-A0B7-683F013656F5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8B5AADA1-20C3-4AEE-A59E-1337F5B3B511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0.2139915915107084"/>
                  <c:y val="-7.4238134433447706E-2"/>
                </c:manualLayout>
              </c:layout>
              <c:tx>
                <c:rich>
                  <a:bodyPr/>
                  <a:lstStyle/>
                  <a:p>
                    <a:fld id="{60F35024-9579-4D00-9728-89EA2A9E4CD5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0E273C7C-8289-4927-BDD5-4B6E76025DD3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'[CC.xlsx]Белки с высоким % и p'!$B$1:$B$11</c:f>
              <c:strCache>
                <c:ptCount val="11"/>
                <c:pt idx="0">
                  <c:v>intracellular part</c:v>
                </c:pt>
                <c:pt idx="1">
                  <c:v>cytoplasm</c:v>
                </c:pt>
                <c:pt idx="2">
                  <c:v>membrane-bounded organelle</c:v>
                </c:pt>
                <c:pt idx="3">
                  <c:v>organelle</c:v>
                </c:pt>
                <c:pt idx="4">
                  <c:v>nucleus</c:v>
                </c:pt>
                <c:pt idx="5">
                  <c:v>anchoring junction</c:v>
                </c:pt>
                <c:pt idx="6">
                  <c:v>adherens junction</c:v>
                </c:pt>
                <c:pt idx="7">
                  <c:v>whole membrane</c:v>
                </c:pt>
                <c:pt idx="8">
                  <c:v>macromolecular complex</c:v>
                </c:pt>
                <c:pt idx="9">
                  <c:v>membrane protein complex</c:v>
                </c:pt>
                <c:pt idx="10">
                  <c:v>mitochondrial part</c:v>
                </c:pt>
              </c:strCache>
            </c:strRef>
          </c:cat>
          <c:val>
            <c:numRef>
              <c:f>'[CC.xlsx]Белки с высоким % и p'!$F$1:$F$12</c:f>
              <c:numCache>
                <c:formatCode>General</c:formatCode>
                <c:ptCount val="12"/>
                <c:pt idx="0">
                  <c:v>0.20107913669064756</c:v>
                </c:pt>
                <c:pt idx="1">
                  <c:v>0.1629496402877699</c:v>
                </c:pt>
                <c:pt idx="2">
                  <c:v>0.17697841726618693</c:v>
                </c:pt>
                <c:pt idx="3">
                  <c:v>0.18705035971223027</c:v>
                </c:pt>
                <c:pt idx="4">
                  <c:v>0.10719424460431659</c:v>
                </c:pt>
                <c:pt idx="5">
                  <c:v>1.5107913669064735E-2</c:v>
                </c:pt>
                <c:pt idx="6">
                  <c:v>1.4748201438848927E-2</c:v>
                </c:pt>
                <c:pt idx="7">
                  <c:v>2.4460431654676276E-2</c:v>
                </c:pt>
                <c:pt idx="8">
                  <c:v>7.3741007194244493E-2</c:v>
                </c:pt>
                <c:pt idx="9">
                  <c:v>1.9424460431654671E-2</c:v>
                </c:pt>
                <c:pt idx="10">
                  <c:v>1.7266187050359719E-2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GO Biological</a:t>
            </a:r>
            <a:r>
              <a:rPr lang="en-US" baseline="0"/>
              <a:t> process</a:t>
            </a:r>
            <a:endParaRPr lang="ru-RU"/>
          </a:p>
        </c:rich>
      </c:tx>
      <c:layout>
        <c:manualLayout>
          <c:xMode val="edge"/>
          <c:yMode val="edge"/>
          <c:x val="1.6355732123543324E-3"/>
          <c:y val="1.427494169019518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diagBrick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pct4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lgGrid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>
                    <a:alpha val="98000"/>
                  </a:schemeClr>
                </a:solidFill>
              </a:ln>
            </c:spPr>
          </c:dPt>
          <c:dPt>
            <c:idx val="4"/>
            <c:bubble3D val="0"/>
            <c:spPr>
              <a:pattFill prst="lgCheck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pattFill prst="dashUp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pattFill prst="pct7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7"/>
            <c:bubble3D val="0"/>
            <c:spPr>
              <a:pattFill prst="lgConfetti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8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9"/>
            <c:bubble3D val="0"/>
            <c:spPr>
              <a:pattFill prst="pct25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Pt>
            <c:idx val="10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15706435145633518"/>
                  <c:y val="-4.70624635172273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C7BF5E47-8E8E-4A1F-B3DF-192C8C1BD347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
</a:t>
                    </a:r>
                    <a:fld id="{23205D5E-00E8-4D44-8887-C977C6C7A6A2}" type="PERCENTAGE">
                      <a:rPr lang="en-US" baseline="0"/>
                      <a:pPr>
                        <a:defRPr/>
                      </a:pPr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12127078449774"/>
                      <c:h val="0.11135857461024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4.6561399226486319E-2"/>
                  <c:y val="1.179273526221249E-2"/>
                </c:manualLayout>
              </c:layout>
              <c:tx>
                <c:rich>
                  <a:bodyPr/>
                  <a:lstStyle/>
                  <a:p>
                    <a:fld id="{A7E35A5A-9325-47BC-9CE8-A9500487EBE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CA5D2B11-355F-40FC-96E4-6D1E39081DB9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74888160358897"/>
                      <c:h val="0.1260421233537344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5.8833416800986464E-2"/>
                  <c:y val="3.076452859873585E-3"/>
                </c:manualLayout>
              </c:layout>
              <c:tx>
                <c:rich>
                  <a:bodyPr/>
                  <a:lstStyle/>
                  <a:p>
                    <a:fld id="{CA4054F8-88BE-45A8-8625-AB3A4BE2E05D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4935DF3F-625A-45BB-BC82-A6160D8632EF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2990779279260321E-3"/>
                  <c:y val="-4.294958675822543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57D5C18A-5F9F-4254-B0A3-1A81895586A2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
</a:t>
                    </a:r>
                    <a:fld id="{9641F522-D018-4FFA-9BB2-FE3670846379}" type="PERCENTAGE">
                      <a:rPr lang="en-US" baseline="0"/>
                      <a:pPr>
                        <a:defRPr/>
                      </a:pPr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46223544611703"/>
                      <c:h val="0.1483138382757834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7.9103515320873521E-2"/>
                  <c:y val="-7.8260401191499171E-2"/>
                </c:manualLayout>
              </c:layout>
              <c:tx>
                <c:rich>
                  <a:bodyPr/>
                  <a:lstStyle/>
                  <a:p>
                    <a:fld id="{15F9B674-98CD-4900-AFE5-4CA83D84A19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F2E3AD1A-B965-4623-B34D-349DADEE0664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82941877054253"/>
                      <c:h val="0.1648743238943684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4.1006325305007639E-3"/>
                  <c:y val="-2.1793211260619149E-3"/>
                </c:manualLayout>
              </c:layout>
              <c:tx>
                <c:rich>
                  <a:bodyPr/>
                  <a:lstStyle/>
                  <a:p>
                    <a:fld id="{60103A13-7319-4A1A-A3D8-1EF6169A2C51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C3E53B59-3DCA-4BFC-A878-332B6E12BEB9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10818813468733297"/>
                  <c:y val="-4.050257915978765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1220A3D2-2F47-447A-8102-449ADA9B6CAE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
</a:t>
                    </a:r>
                    <a:fld id="{849247D1-652C-4E99-A652-174F9FFE6F89}" type="PERCENTAGE">
                      <a:rPr lang="en-US" baseline="0"/>
                      <a:pPr>
                        <a:defRPr/>
                      </a:pPr>
                      <a:t>[ПРОЦЕНТ]</a:t>
                    </a:fld>
                    <a:r>
                      <a:rPr lang="en-US" baseline="0"/>
                      <a:t> (*)</a:t>
                    </a:r>
                  </a:p>
                  <a:p>
                    <a:pPr>
                      <a:defRPr/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18225547835377"/>
                      <c:h val="0.1305282830737471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9.0866730915717314E-2"/>
                  <c:y val="-0.19269492761066337"/>
                </c:manualLayout>
              </c:layout>
              <c:tx>
                <c:rich>
                  <a:bodyPr/>
                  <a:lstStyle/>
                  <a:p>
                    <a:fld id="{5A6FAF2E-5FD1-445A-90B2-201CC7CA2A9D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76A7E4C3-9347-45D1-A1E2-6DD174021E70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5.2827196707306297E-2"/>
                  <c:y val="-0.1625810136761858"/>
                </c:manualLayout>
              </c:layout>
              <c:tx>
                <c:rich>
                  <a:bodyPr/>
                  <a:lstStyle/>
                  <a:p>
                    <a:fld id="{F45DB2DD-6382-4E31-8492-AEF129E3AFE9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8C982C15-70BB-4596-8A5F-CD53A152E4C5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4886089799972224"/>
                  <c:y val="-2.0368222346371513E-2"/>
                </c:manualLayout>
              </c:layout>
              <c:tx>
                <c:rich>
                  <a:bodyPr/>
                  <a:lstStyle/>
                  <a:p>
                    <a:fld id="{314E00A2-BC17-4BED-8340-3FAA70F00D8C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C555690D-00C8-44C1-87F2-EFF8668FC624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8.2682636343359275E-2"/>
                  <c:y val="-5.5504420522044989E-2"/>
                </c:manualLayout>
              </c:layout>
              <c:tx>
                <c:rich>
                  <a:bodyPr/>
                  <a:lstStyle/>
                  <a:p>
                    <a:fld id="{6A9C69C3-9B14-467F-B666-4E47AB331A5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A612F0B2-C92A-4080-8649-2122115BBA33}" type="PERCENTAGE">
                      <a:rPr lang="en-US" baseline="0"/>
                      <a:pPr/>
                      <a:t>[ПРОЦЕНТ]</a:t>
                    </a:fld>
                    <a:r>
                      <a:rPr lang="en-US" baseline="0"/>
                      <a:t> (*)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'Белки с высоким % и p'!$B$1:$B$11</c:f>
              <c:strCache>
                <c:ptCount val="11"/>
                <c:pt idx="0">
                  <c:v>regulation of transport</c:v>
                </c:pt>
                <c:pt idx="1">
                  <c:v>regulation of catalytic activity</c:v>
                </c:pt>
                <c:pt idx="2">
                  <c:v>vesicle-mediated transport</c:v>
                </c:pt>
                <c:pt idx="3">
                  <c:v>regulation of molecular function</c:v>
                </c:pt>
                <c:pt idx="4">
                  <c:v>regulation of phosphate metabolic process</c:v>
                </c:pt>
                <c:pt idx="5">
                  <c:v>small molecule metabolic process</c:v>
                </c:pt>
                <c:pt idx="6">
                  <c:v>cellular developmental process</c:v>
                </c:pt>
                <c:pt idx="7">
                  <c:v>organonitrogen compound metabolic process</c:v>
                </c:pt>
                <c:pt idx="8">
                  <c:v>single-organism metabolic process</c:v>
                </c:pt>
                <c:pt idx="9">
                  <c:v>macromolecule localization</c:v>
                </c:pt>
                <c:pt idx="10">
                  <c:v>biological adhesion</c:v>
                </c:pt>
              </c:strCache>
            </c:strRef>
          </c:cat>
          <c:val>
            <c:numRef>
              <c:f>'Белки с высоким % и p'!$F$1:$F$11</c:f>
              <c:numCache>
                <c:formatCode>General</c:formatCode>
                <c:ptCount val="11"/>
                <c:pt idx="0">
                  <c:v>7.3610023492560656E-2</c:v>
                </c:pt>
                <c:pt idx="1">
                  <c:v>9.2404072043852606E-2</c:v>
                </c:pt>
                <c:pt idx="2">
                  <c:v>6.1863743148002817E-2</c:v>
                </c:pt>
                <c:pt idx="3">
                  <c:v>0.10571652310101816</c:v>
                </c:pt>
                <c:pt idx="4">
                  <c:v>6.4212999216914396E-2</c:v>
                </c:pt>
                <c:pt idx="5">
                  <c:v>7.517619420516837E-2</c:v>
                </c:pt>
                <c:pt idx="6">
                  <c:v>0.1386061080657795</c:v>
                </c:pt>
                <c:pt idx="7">
                  <c:v>8.2223962411903065E-2</c:v>
                </c:pt>
                <c:pt idx="8">
                  <c:v>0.1401722787783872</c:v>
                </c:pt>
                <c:pt idx="9">
                  <c:v>0.10101801096319502</c:v>
                </c:pt>
                <c:pt idx="10">
                  <c:v>6.4996084573218246E-2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GO Molecular function</a:t>
            </a:r>
            <a:endParaRPr lang="ru-RU" sz="1800" b="1" i="0" baseline="0"/>
          </a:p>
        </c:rich>
      </c:tx>
      <c:layout>
        <c:manualLayout>
          <c:xMode val="edge"/>
          <c:yMode val="edge"/>
          <c:x val="0.3117531153074064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163184452290871"/>
          <c:y val="0.13808115503978438"/>
          <c:w val="0.41949523813531858"/>
          <c:h val="0.76035528758604498"/>
        </c:manualLayout>
      </c:layout>
      <c:barChart>
        <c:barDir val="bar"/>
        <c:grouping val="clustered"/>
        <c:varyColors val="0"/>
        <c:ser>
          <c:idx val="0"/>
          <c:order val="0"/>
          <c:tx>
            <c:v>% proteins involved</c:v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MF!$B$1:$B$11</c:f>
              <c:strCache>
                <c:ptCount val="11"/>
                <c:pt idx="0">
                  <c:v>modified amino acid binding</c:v>
                </c:pt>
                <c:pt idx="1">
                  <c:v>GDP binding</c:v>
                </c:pt>
                <c:pt idx="2">
                  <c:v>anion channel activity</c:v>
                </c:pt>
                <c:pt idx="3">
                  <c:v>syntaxin binding</c:v>
                </c:pt>
                <c:pt idx="4">
                  <c:v>SNARE binding</c:v>
                </c:pt>
                <c:pt idx="5">
                  <c:v>magnesium ion binding</c:v>
                </c:pt>
                <c:pt idx="6">
                  <c:v>transferase activity, transferring acyl groups other than amino-acyl groups</c:v>
                </c:pt>
                <c:pt idx="7">
                  <c:v>carboxylic acid binding</c:v>
                </c:pt>
                <c:pt idx="8">
                  <c:v>anion binding</c:v>
                </c:pt>
                <c:pt idx="9">
                  <c:v>carbohydrate derivative binding</c:v>
                </c:pt>
                <c:pt idx="10">
                  <c:v>protein binding</c:v>
                </c:pt>
              </c:strCache>
            </c:strRef>
          </c:cat>
          <c:val>
            <c:numRef>
              <c:f>MF!$D$1:$D$11</c:f>
              <c:numCache>
                <c:formatCode>General</c:formatCode>
                <c:ptCount val="11"/>
                <c:pt idx="0">
                  <c:v>1.06241699867197</c:v>
                </c:pt>
                <c:pt idx="1">
                  <c:v>1.1952191235059699</c:v>
                </c:pt>
                <c:pt idx="2">
                  <c:v>1.1952191235059699</c:v>
                </c:pt>
                <c:pt idx="3">
                  <c:v>1.4608233731739699</c:v>
                </c:pt>
                <c:pt idx="4">
                  <c:v>1.8592297476759601</c:v>
                </c:pt>
                <c:pt idx="5">
                  <c:v>2.1248339973439498</c:v>
                </c:pt>
                <c:pt idx="6">
                  <c:v>2.2576361221779502</c:v>
                </c:pt>
                <c:pt idx="7">
                  <c:v>2.3904382470119501</c:v>
                </c:pt>
                <c:pt idx="8">
                  <c:v>3.1872509960159299</c:v>
                </c:pt>
                <c:pt idx="9">
                  <c:v>14.475431606905699</c:v>
                </c:pt>
                <c:pt idx="10">
                  <c:v>61.221779548472703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6159208"/>
        <c:axId val="566158424"/>
      </c:barChart>
      <c:catAx>
        <c:axId val="566159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66158424"/>
        <c:crosses val="autoZero"/>
        <c:auto val="1"/>
        <c:lblAlgn val="ctr"/>
        <c:lblOffset val="100"/>
        <c:noMultiLvlLbl val="0"/>
      </c:catAx>
      <c:valAx>
        <c:axId val="566158424"/>
        <c:scaling>
          <c:orientation val="minMax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566159208"/>
        <c:crosses val="autoZero"/>
        <c:crossBetween val="between"/>
      </c:valAx>
      <c:spPr>
        <a:solidFill>
          <a:schemeClr val="bg1"/>
        </a:solidFill>
      </c:spPr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GO Cellular</a:t>
            </a:r>
            <a:r>
              <a:rPr lang="en-US" baseline="0"/>
              <a:t> component</a:t>
            </a:r>
            <a:endParaRPr lang="en-US"/>
          </a:p>
        </c:rich>
      </c:tx>
      <c:layout>
        <c:manualLayout>
          <c:xMode val="edge"/>
          <c:yMode val="edge"/>
          <c:x val="0.3071512560128273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1650833063290924"/>
          <c:y val="0.15381874201630455"/>
          <c:w val="0.41482351851929788"/>
          <c:h val="0.7543787512728467"/>
        </c:manualLayout>
      </c:layout>
      <c:barChart>
        <c:barDir val="bar"/>
        <c:grouping val="clustered"/>
        <c:varyColors val="0"/>
        <c:ser>
          <c:idx val="0"/>
          <c:order val="0"/>
          <c:tx>
            <c:v>% proteins involved</c:v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СС!$B$1:$B$11</c:f>
              <c:strCache>
                <c:ptCount val="11"/>
                <c:pt idx="0">
                  <c:v>adherens junction</c:v>
                </c:pt>
                <c:pt idx="1">
                  <c:v>anchoring junction</c:v>
                </c:pt>
                <c:pt idx="2">
                  <c:v>mitochondrial part</c:v>
                </c:pt>
                <c:pt idx="3">
                  <c:v>membrane protein complex</c:v>
                </c:pt>
                <c:pt idx="4">
                  <c:v>whole membrane</c:v>
                </c:pt>
                <c:pt idx="5">
                  <c:v>macromolecular complex</c:v>
                </c:pt>
                <c:pt idx="6">
                  <c:v>nucleus</c:v>
                </c:pt>
                <c:pt idx="7">
                  <c:v>cytoplasm</c:v>
                </c:pt>
                <c:pt idx="8">
                  <c:v>membrane-bounded organelle</c:v>
                </c:pt>
                <c:pt idx="9">
                  <c:v>organelle</c:v>
                </c:pt>
                <c:pt idx="10">
                  <c:v>intracellular part</c:v>
                </c:pt>
              </c:strCache>
            </c:strRef>
          </c:cat>
          <c:val>
            <c:numRef>
              <c:f>СС!$D$1:$D$11</c:f>
              <c:numCache>
                <c:formatCode>General</c:formatCode>
                <c:ptCount val="11"/>
                <c:pt idx="0">
                  <c:v>5.4448871181938898</c:v>
                </c:pt>
                <c:pt idx="1">
                  <c:v>5.5776892430278799</c:v>
                </c:pt>
                <c:pt idx="2">
                  <c:v>6.3745019920318704</c:v>
                </c:pt>
                <c:pt idx="3">
                  <c:v>7.1713147410358502</c:v>
                </c:pt>
                <c:pt idx="4">
                  <c:v>9.0305444887118203</c:v>
                </c:pt>
                <c:pt idx="5">
                  <c:v>27.224435590969399</c:v>
                </c:pt>
                <c:pt idx="6">
                  <c:v>39.575033200531202</c:v>
                </c:pt>
                <c:pt idx="7">
                  <c:v>60.159362549800797</c:v>
                </c:pt>
                <c:pt idx="8">
                  <c:v>65.338645418326607</c:v>
                </c:pt>
                <c:pt idx="9">
                  <c:v>69.0571049136786</c:v>
                </c:pt>
                <c:pt idx="10">
                  <c:v>74.236387782204503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1042072"/>
        <c:axId val="561042464"/>
      </c:barChart>
      <c:catAx>
        <c:axId val="5610420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61042464"/>
        <c:crosses val="autoZero"/>
        <c:auto val="1"/>
        <c:lblAlgn val="ctr"/>
        <c:lblOffset val="100"/>
        <c:noMultiLvlLbl val="0"/>
      </c:catAx>
      <c:valAx>
        <c:axId val="56104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61042072"/>
        <c:crosses val="autoZero"/>
        <c:crossBetween val="between"/>
      </c:valAx>
    </c:plotArea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GO Biological</a:t>
            </a:r>
            <a:r>
              <a:rPr lang="en-US" baseline="0"/>
              <a:t> process</a:t>
            </a:r>
          </a:p>
        </c:rich>
      </c:tx>
      <c:layout>
        <c:manualLayout>
          <c:xMode val="edge"/>
          <c:yMode val="edge"/>
          <c:x val="0.3198823316513549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138939087511306"/>
          <c:y val="0.15167132563714089"/>
          <c:w val="0.38992355997633033"/>
          <c:h val="0.75780779435090939"/>
        </c:manualLayout>
      </c:layout>
      <c:barChart>
        <c:barDir val="bar"/>
        <c:grouping val="clustered"/>
        <c:varyColors val="0"/>
        <c:ser>
          <c:idx val="0"/>
          <c:order val="0"/>
          <c:tx>
            <c:v>% proteins involved</c:v>
          </c:tx>
          <c:spPr>
            <a:solidFill>
              <a:sysClr val="windowText" lastClr="000000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[All.xlsx]ВР!$B$1:$B$11</c:f>
              <c:strCache>
                <c:ptCount val="11"/>
                <c:pt idx="0">
                  <c:v>vesicle-mediated transport</c:v>
                </c:pt>
                <c:pt idx="1">
                  <c:v>regulation of phosphate metabolic process</c:v>
                </c:pt>
                <c:pt idx="2">
                  <c:v>biological adhesion</c:v>
                </c:pt>
                <c:pt idx="3">
                  <c:v>regulation of transport</c:v>
                </c:pt>
                <c:pt idx="4">
                  <c:v>small molecule metabolic process</c:v>
                </c:pt>
                <c:pt idx="5">
                  <c:v>organonitrogen compound metabolic process</c:v>
                </c:pt>
                <c:pt idx="6">
                  <c:v>regulation of catalytic activity</c:v>
                </c:pt>
                <c:pt idx="7">
                  <c:v>macromolecule localization</c:v>
                </c:pt>
                <c:pt idx="8">
                  <c:v>regulation of molecular function</c:v>
                </c:pt>
                <c:pt idx="9">
                  <c:v>cellular developmental process</c:v>
                </c:pt>
                <c:pt idx="10">
                  <c:v>single-organism metabolic process</c:v>
                </c:pt>
              </c:strCache>
            </c:strRef>
          </c:cat>
          <c:val>
            <c:numRef>
              <c:f>[All.xlsx]ВР!$D$1:$D$11</c:f>
              <c:numCache>
                <c:formatCode>General</c:formatCode>
                <c:ptCount val="11"/>
                <c:pt idx="0">
                  <c:v>10.491367861885699</c:v>
                </c:pt>
                <c:pt idx="1">
                  <c:v>10.8897742363877</c:v>
                </c:pt>
                <c:pt idx="2">
                  <c:v>11.0225763612217</c:v>
                </c:pt>
                <c:pt idx="3">
                  <c:v>12.4833997343957</c:v>
                </c:pt>
                <c:pt idx="4">
                  <c:v>12.7490039840637</c:v>
                </c:pt>
                <c:pt idx="5">
                  <c:v>13.9442231075697</c:v>
                </c:pt>
                <c:pt idx="6">
                  <c:v>15.6706507304116</c:v>
                </c:pt>
                <c:pt idx="7">
                  <c:v>17.1314741035856</c:v>
                </c:pt>
                <c:pt idx="8">
                  <c:v>17.928286852589601</c:v>
                </c:pt>
                <c:pt idx="9">
                  <c:v>23.505976095617498</c:v>
                </c:pt>
                <c:pt idx="10">
                  <c:v>23.7715803452855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1043248"/>
        <c:axId val="561043640"/>
      </c:barChart>
      <c:catAx>
        <c:axId val="561043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61043640"/>
        <c:crosses val="autoZero"/>
        <c:auto val="1"/>
        <c:lblAlgn val="ctr"/>
        <c:lblOffset val="100"/>
        <c:noMultiLvlLbl val="0"/>
      </c:catAx>
      <c:valAx>
        <c:axId val="561043640"/>
        <c:scaling>
          <c:orientation val="minMax"/>
          <c:max val="80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561043248"/>
        <c:crosses val="autoZero"/>
        <c:crossBetween val="between"/>
        <c:majorUnit val="20"/>
      </c:valAx>
      <c:spPr>
        <a:solidFill>
          <a:sysClr val="window" lastClr="FFFFFF"/>
        </a:solidFill>
      </c:spPr>
    </c:plotArea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GO term</a:t>
            </a:r>
            <a:endParaRPr lang="ru-RU"/>
          </a:p>
        </c:rich>
      </c:tx>
      <c:layout>
        <c:manualLayout>
          <c:xMode val="edge"/>
          <c:yMode val="edge"/>
          <c:x val="0.4253446512665339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3319509967721165"/>
          <c:y val="0.16765252174143777"/>
          <c:w val="0.5411501702319278"/>
          <c:h val="0.80023184233394584"/>
        </c:manualLayout>
      </c:layout>
      <c:barChart>
        <c:barDir val="bar"/>
        <c:grouping val="clustered"/>
        <c:varyColors val="0"/>
        <c:ser>
          <c:idx val="0"/>
          <c:order val="0"/>
          <c:tx>
            <c:v>Number of annotated molecules</c:v>
          </c:tx>
          <c:spPr>
            <a:solidFill>
              <a:sysClr val="windowText" lastClr="0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[EVpedia.xlsx]EVpedia!$B$2:$B$13</c:f>
              <c:strCache>
                <c:ptCount val="12"/>
                <c:pt idx="0">
                  <c:v>nitrogen compound metabolic process</c:v>
                </c:pt>
                <c:pt idx="1">
                  <c:v>cellular component organization or biogenesis</c:v>
                </c:pt>
                <c:pt idx="2">
                  <c:v>regulation of cellular metabolic process</c:v>
                </c:pt>
                <c:pt idx="3">
                  <c:v>primary metabolic process</c:v>
                </c:pt>
                <c:pt idx="4">
                  <c:v>cellular metabolic process</c:v>
                </c:pt>
                <c:pt idx="5">
                  <c:v>developmental process</c:v>
                </c:pt>
                <c:pt idx="6">
                  <c:v>cellular response to stimulus</c:v>
                </c:pt>
                <c:pt idx="7">
                  <c:v>multicellular organismal process</c:v>
                </c:pt>
                <c:pt idx="8">
                  <c:v>cell communication</c:v>
                </c:pt>
                <c:pt idx="9">
                  <c:v>negative regulation of biological process</c:v>
                </c:pt>
                <c:pt idx="10">
                  <c:v>regulation of molecular function</c:v>
                </c:pt>
                <c:pt idx="11">
                  <c:v>regulation of catalytic activity</c:v>
                </c:pt>
              </c:strCache>
            </c:strRef>
          </c:cat>
          <c:val>
            <c:numRef>
              <c:f>[EVpedia.xlsx]EVpedia!$D$2:$D$13</c:f>
              <c:numCache>
                <c:formatCode>General</c:formatCode>
                <c:ptCount val="12"/>
                <c:pt idx="0">
                  <c:v>788</c:v>
                </c:pt>
                <c:pt idx="1">
                  <c:v>685</c:v>
                </c:pt>
                <c:pt idx="2">
                  <c:v>437</c:v>
                </c:pt>
                <c:pt idx="3">
                  <c:v>402</c:v>
                </c:pt>
                <c:pt idx="4">
                  <c:v>400</c:v>
                </c:pt>
                <c:pt idx="5">
                  <c:v>355</c:v>
                </c:pt>
                <c:pt idx="6">
                  <c:v>236</c:v>
                </c:pt>
                <c:pt idx="7">
                  <c:v>228</c:v>
                </c:pt>
                <c:pt idx="8">
                  <c:v>227</c:v>
                </c:pt>
                <c:pt idx="9">
                  <c:v>139</c:v>
                </c:pt>
                <c:pt idx="10">
                  <c:v>110</c:v>
                </c:pt>
                <c:pt idx="11">
                  <c:v>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82625224"/>
        <c:axId val="478310312"/>
      </c:barChart>
      <c:catAx>
        <c:axId val="4826252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78310312"/>
        <c:crosses val="autoZero"/>
        <c:auto val="1"/>
        <c:lblAlgn val="ctr"/>
        <c:lblOffset val="100"/>
        <c:noMultiLvlLbl val="0"/>
      </c:catAx>
      <c:valAx>
        <c:axId val="478310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482625224"/>
        <c:crosses val="autoZero"/>
        <c:crossBetween val="between"/>
      </c:valAx>
      <c:spPr>
        <a:solidFill>
          <a:sysClr val="window" lastClr="FFFFFF"/>
        </a:solidFill>
      </c:spPr>
    </c:plotArea>
    <c:legend>
      <c:legendPos val="t"/>
      <c:layout>
        <c:manualLayout>
          <c:xMode val="edge"/>
          <c:yMode val="edge"/>
          <c:x val="0.31656842734316154"/>
          <c:y val="9.5059668720853877E-2"/>
          <c:w val="0.36686297697555309"/>
          <c:h val="7.2592988301191375E-2"/>
        </c:manualLayout>
      </c:layout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0.83235</cdr:x>
      <cdr:y>0.13501</cdr:y>
    </cdr:from>
    <cdr:to>
      <cdr:x>0.87058</cdr:x>
      <cdr:y>0.20486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44519" y="342152"/>
          <a:ext cx="227102" cy="177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0.58657</cdr:x>
      <cdr:y>0.20026</cdr:y>
    </cdr:from>
    <cdr:to>
      <cdr:x>0.6248</cdr:x>
      <cdr:y>0.25267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484460" y="507504"/>
          <a:ext cx="227103" cy="1328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0.52539</cdr:x>
      <cdr:y>0.26966</cdr:y>
    </cdr:from>
    <cdr:to>
      <cdr:x>0.56362</cdr:x>
      <cdr:y>0.34021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121038" y="683398"/>
          <a:ext cx="227103" cy="178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0.52007</cdr:x>
      <cdr:y>0.47709</cdr:y>
    </cdr:from>
    <cdr:to>
      <cdr:x>0.5583</cdr:x>
      <cdr:y>0.54694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089434" y="1209080"/>
          <a:ext cx="227103" cy="177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0.51736</cdr:x>
      <cdr:y>0.5464</cdr:y>
    </cdr:from>
    <cdr:to>
      <cdr:x>0.55559</cdr:x>
      <cdr:y>0.61626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073343" y="1384745"/>
          <a:ext cx="227102" cy="1770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0.51503</cdr:x>
      <cdr:y>0.75234</cdr:y>
    </cdr:from>
    <cdr:to>
      <cdr:x>0.55326</cdr:x>
      <cdr:y>0.82219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059501" y="1906645"/>
          <a:ext cx="227103" cy="1770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0.52158</cdr:x>
      <cdr:y>0.34015</cdr:y>
    </cdr:from>
    <cdr:to>
      <cdr:x>0.55981</cdr:x>
      <cdr:y>0.41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098405" y="862031"/>
          <a:ext cx="227103" cy="1770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0.52029</cdr:x>
      <cdr:y>0.40836</cdr:y>
    </cdr:from>
    <cdr:to>
      <cdr:x>0.55851</cdr:x>
      <cdr:y>0.47822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090742" y="1034908"/>
          <a:ext cx="227043" cy="177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0.51604</cdr:x>
      <cdr:y>0.61409</cdr:y>
    </cdr:from>
    <cdr:to>
      <cdr:x>0.55427</cdr:x>
      <cdr:y>0.68394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065507" y="1556280"/>
          <a:ext cx="227103" cy="1770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0.51675</cdr:x>
      <cdr:y>0.68414</cdr:y>
    </cdr:from>
    <cdr:to>
      <cdr:x>0.55498</cdr:x>
      <cdr:y>0.7643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069717" y="1733798"/>
          <a:ext cx="227102" cy="2031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0.51529</cdr:x>
      <cdr:y>0.81999</cdr:y>
    </cdr:from>
    <cdr:to>
      <cdr:x>0.55352</cdr:x>
      <cdr:y>0.88984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3061043" y="2078094"/>
          <a:ext cx="227102" cy="1770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0.30054</cdr:x>
      <cdr:y>0.28193</cdr:y>
    </cdr:from>
    <cdr:to>
      <cdr:x>0.40805</cdr:x>
      <cdr:y>0.60474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2555995" y="79860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0.01185</cdr:x>
      <cdr:y>0.05955</cdr:y>
    </cdr:from>
    <cdr:to>
      <cdr:x>0.07014</cdr:x>
      <cdr:y>0.21746</cdr:y>
    </cdr:to>
    <cdr:sp macro="" textlink="">
      <cdr:nvSpPr>
        <cdr:cNvPr id="14" name="TextBox 35"/>
        <cdr:cNvSpPr txBox="1"/>
      </cdr:nvSpPr>
      <cdr:spPr>
        <a:xfrm xmlns:a="http://schemas.openxmlformats.org/drawingml/2006/main">
          <a:off x="70399" y="150924"/>
          <a:ext cx="346267" cy="400181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</cdr:y>
    </cdr:from>
    <cdr:to>
      <cdr:x>0.08108</cdr:x>
      <cdr:y>0.15877</cdr:y>
    </cdr:to>
    <cdr:pic>
      <cdr:nvPicPr>
        <cdr:cNvPr id="1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81626" cy="40237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0.89428</cdr:x>
      <cdr:y>0.12608</cdr:y>
    </cdr:from>
    <cdr:to>
      <cdr:x>0.98746</cdr:x>
      <cdr:y>0.19205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12403" y="324394"/>
          <a:ext cx="553529" cy="169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***</a:t>
          </a:r>
          <a:endParaRPr lang="ru-RU" sz="1100" b="1"/>
        </a:p>
      </cdr:txBody>
    </cdr:sp>
  </cdr:relSizeAnchor>
  <cdr:relSizeAnchor xmlns:cdr="http://schemas.openxmlformats.org/drawingml/2006/chartDrawing">
    <cdr:from>
      <cdr:x>0.8681</cdr:x>
      <cdr:y>0.19209</cdr:y>
    </cdr:from>
    <cdr:to>
      <cdr:x>0.94623</cdr:x>
      <cdr:y>0.25806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6880" y="494264"/>
          <a:ext cx="464125" cy="169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0.84957</cdr:x>
      <cdr:y>0.26373</cdr:y>
    </cdr:from>
    <cdr:to>
      <cdr:x>0.92003</cdr:x>
      <cdr:y>0.32681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046807" y="678590"/>
          <a:ext cx="418562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***</a:t>
          </a:r>
          <a:endParaRPr lang="ru-RU" sz="1100" b="1"/>
        </a:p>
      </cdr:txBody>
    </cdr:sp>
  </cdr:relSizeAnchor>
  <cdr:relSizeAnchor xmlns:cdr="http://schemas.openxmlformats.org/drawingml/2006/chartDrawing">
    <cdr:from>
      <cdr:x>0.82085</cdr:x>
      <cdr:y>0.33558</cdr:y>
    </cdr:from>
    <cdr:to>
      <cdr:x>0.8913</cdr:x>
      <cdr:y>0.39866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4876203" y="863449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***</a:t>
          </a:r>
          <a:endParaRPr lang="ru-RU" sz="1100" b="1"/>
        </a:p>
      </cdr:txBody>
    </cdr:sp>
  </cdr:relSizeAnchor>
  <cdr:relSizeAnchor xmlns:cdr="http://schemas.openxmlformats.org/drawingml/2006/chartDrawing">
    <cdr:from>
      <cdr:x>0.71537</cdr:x>
      <cdr:y>0.40688</cdr:y>
    </cdr:from>
    <cdr:to>
      <cdr:x>0.78583</cdr:x>
      <cdr:y>0.46996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249623" y="1046919"/>
          <a:ext cx="41856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0.65146</cdr:x>
      <cdr:y>0.47596</cdr:y>
    </cdr:from>
    <cdr:to>
      <cdr:x>0.72191</cdr:x>
      <cdr:y>0.53904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869974" y="1224644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0.55491</cdr:x>
      <cdr:y>0.54586</cdr:y>
    </cdr:from>
    <cdr:to>
      <cdr:x>0.62536</cdr:x>
      <cdr:y>0.60894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296377" y="1404518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0.54558</cdr:x>
      <cdr:y>0.61625</cdr:y>
    </cdr:from>
    <cdr:to>
      <cdr:x>0.61603</cdr:x>
      <cdr:y>0.67933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240957" y="1585626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0.54159</cdr:x>
      <cdr:y>0.68535</cdr:y>
    </cdr:from>
    <cdr:to>
      <cdr:x>0.61204</cdr:x>
      <cdr:y>0.74843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217253" y="1763422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0.53761</cdr:x>
      <cdr:y>0.82449</cdr:y>
    </cdr:from>
    <cdr:to>
      <cdr:x>0.60806</cdr:x>
      <cdr:y>0.88757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3193608" y="2121432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0.53793</cdr:x>
      <cdr:y>0.75517</cdr:y>
    </cdr:from>
    <cdr:to>
      <cdr:x>0.60838</cdr:x>
      <cdr:y>0.81825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3195509" y="1943070"/>
          <a:ext cx="418503" cy="1623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endParaRPr lang="ru-RU" sz="1100" b="1"/>
        </a:p>
      </cdr:txBody>
    </cdr:sp>
  </cdr:relSizeAnchor>
  <cdr:relSizeAnchor xmlns:cdr="http://schemas.openxmlformats.org/drawingml/2006/chartDrawing">
    <cdr:from>
      <cdr:x>0</cdr:x>
      <cdr:y>0</cdr:y>
    </cdr:from>
    <cdr:to>
      <cdr:x>0.08108</cdr:x>
      <cdr:y>0.16349</cdr:y>
    </cdr:to>
    <cdr:pic>
      <cdr:nvPicPr>
        <cdr:cNvPr id="1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81650" cy="42067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0.62987</cdr:x>
      <cdr:y>0.19067</cdr:y>
    </cdr:from>
    <cdr:to>
      <cdr:x>0.67638</cdr:x>
      <cdr:y>0.24506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41680" y="496527"/>
          <a:ext cx="276289" cy="1416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0.596</cdr:x>
      <cdr:y>0.33061</cdr:y>
    </cdr:from>
    <cdr:to>
      <cdr:x>0.64251</cdr:x>
      <cdr:y>0.40576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40484" y="860961"/>
          <a:ext cx="276289" cy="1956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0.58809</cdr:x>
      <cdr:y>0.40364</cdr:y>
    </cdr:from>
    <cdr:to>
      <cdr:x>0.6346</cdr:x>
      <cdr:y>0.45671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493500" y="1051130"/>
          <a:ext cx="276289" cy="138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0.57969</cdr:x>
      <cdr:y>0.47711</cdr:y>
    </cdr:from>
    <cdr:to>
      <cdr:x>0.6262</cdr:x>
      <cdr:y>0.53019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443601" y="1242456"/>
          <a:ext cx="276289" cy="138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0.57279</cdr:x>
      <cdr:y>0.54235</cdr:y>
    </cdr:from>
    <cdr:to>
      <cdr:x>0.6193</cdr:x>
      <cdr:y>0.59542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402618" y="1412349"/>
          <a:ext cx="276289" cy="138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</a:t>
          </a:r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0.56467</cdr:x>
      <cdr:y>0.68746</cdr:y>
    </cdr:from>
    <cdr:to>
      <cdr:x>0.61118</cdr:x>
      <cdr:y>0.74053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354372" y="1790235"/>
          <a:ext cx="276290" cy="138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0.57233</cdr:x>
      <cdr:y>0.61515</cdr:y>
    </cdr:from>
    <cdr:to>
      <cdr:x>0.61884</cdr:x>
      <cdr:y>0.66823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399882" y="1601931"/>
          <a:ext cx="276289" cy="1382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 b="1"/>
            <a:t>**</a:t>
          </a:r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0.56559</cdr:x>
      <cdr:y>0.7564</cdr:y>
    </cdr:from>
    <cdr:to>
      <cdr:x>0.6121</cdr:x>
      <cdr:y>0.80948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359838" y="1969766"/>
          <a:ext cx="276289" cy="138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0.56417</cdr:x>
      <cdr:y>0.82493</cdr:y>
    </cdr:from>
    <cdr:to>
      <cdr:x>0.61068</cdr:x>
      <cdr:y>0.878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351403" y="2148227"/>
          <a:ext cx="276289" cy="138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0.62962</cdr:x>
      <cdr:y>0.12026</cdr:y>
    </cdr:from>
    <cdr:to>
      <cdr:x>0.67613</cdr:x>
      <cdr:y>0.17333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3740201" y="313170"/>
          <a:ext cx="276289" cy="138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</a:p>
      </cdr:txBody>
    </cdr:sp>
  </cdr:relSizeAnchor>
  <cdr:relSizeAnchor xmlns:cdr="http://schemas.openxmlformats.org/drawingml/2006/chartDrawing">
    <cdr:from>
      <cdr:x>0.60201</cdr:x>
      <cdr:y>0.26336</cdr:y>
    </cdr:from>
    <cdr:to>
      <cdr:x>0.64852</cdr:x>
      <cdr:y>0.31644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3576182" y="685821"/>
          <a:ext cx="276289" cy="1382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*</a:t>
          </a:r>
          <a:r>
            <a:rPr lang="en-US" sz="1100" b="1"/>
            <a:t>*</a:t>
          </a:r>
          <a:endParaRPr lang="ru-RU" sz="1100" b="1"/>
        </a:p>
      </cdr:txBody>
    </cdr:sp>
  </cdr:relSizeAnchor>
  <cdr:relSizeAnchor xmlns:cdr="http://schemas.openxmlformats.org/drawingml/2006/chartDrawing">
    <cdr:from>
      <cdr:x>0</cdr:x>
      <cdr:y>0</cdr:y>
    </cdr:from>
    <cdr:to>
      <cdr:x>0.07902</cdr:x>
      <cdr:y>0.15267</cdr:y>
    </cdr:to>
    <cdr:pic>
      <cdr:nvPicPr>
        <cdr:cNvPr id="1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69412" cy="39756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7ADF8-2915-43F7-8088-BCA6B99F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 Kerkeshko</dc:creator>
  <cp:lastModifiedBy>Кореневский</cp:lastModifiedBy>
  <cp:revision>7</cp:revision>
  <dcterms:created xsi:type="dcterms:W3CDTF">2020-02-28T14:01:00Z</dcterms:created>
  <dcterms:modified xsi:type="dcterms:W3CDTF">2020-03-05T14:42:00Z</dcterms:modified>
</cp:coreProperties>
</file>