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33" w:rsidRPr="00077125" w:rsidRDefault="00A94B33" w:rsidP="00077125">
      <w:pPr>
        <w:pStyle w:val="Default"/>
        <w:jc w:val="both"/>
        <w:rPr>
          <w:rFonts w:eastAsia="Times New Roman"/>
          <w:b/>
          <w:bCs/>
          <w:color w:val="auto"/>
          <w:sz w:val="28"/>
          <w:szCs w:val="28"/>
          <w:lang w:val="en-US" w:eastAsia="ru-RU"/>
        </w:rPr>
      </w:pPr>
      <w:r w:rsidRPr="00077125">
        <w:rPr>
          <w:rFonts w:eastAsia="Times New Roman"/>
          <w:b/>
          <w:color w:val="auto"/>
          <w:sz w:val="28"/>
          <w:szCs w:val="28"/>
          <w:lang w:val="en-US" w:eastAsia="ru-RU"/>
        </w:rPr>
        <w:t>T</w:t>
      </w:r>
      <w:r w:rsidR="00077125">
        <w:rPr>
          <w:rFonts w:eastAsia="Times New Roman"/>
          <w:b/>
          <w:color w:val="auto"/>
          <w:sz w:val="28"/>
          <w:szCs w:val="28"/>
          <w:lang w:val="en-US" w:eastAsia="ru-RU"/>
        </w:rPr>
        <w:t xml:space="preserve">ABLE </w:t>
      </w:r>
      <w:r w:rsidRPr="00077125">
        <w:rPr>
          <w:rFonts w:eastAsia="Times New Roman"/>
          <w:b/>
          <w:color w:val="auto"/>
          <w:sz w:val="28"/>
          <w:szCs w:val="28"/>
          <w:lang w:val="en-US" w:eastAsia="ru-RU"/>
        </w:rPr>
        <w:t>1</w:t>
      </w:r>
      <w:r w:rsidRPr="00077125">
        <w:rPr>
          <w:rFonts w:eastAsia="Times New Roman"/>
          <w:b/>
          <w:i/>
          <w:color w:val="auto"/>
          <w:sz w:val="28"/>
          <w:szCs w:val="28"/>
          <w:lang w:val="en-US" w:eastAsia="ru-RU"/>
        </w:rPr>
        <w:t>.</w:t>
      </w:r>
      <w:r w:rsidRPr="00077125">
        <w:rPr>
          <w:rFonts w:eastAsia="Times New Roman"/>
          <w:b/>
          <w:bCs/>
          <w:color w:val="auto"/>
          <w:sz w:val="28"/>
          <w:szCs w:val="28"/>
          <w:lang w:val="en-US" w:eastAsia="ru-RU"/>
        </w:rPr>
        <w:t xml:space="preserve"> S</w:t>
      </w:r>
      <w:r w:rsidR="00077125">
        <w:rPr>
          <w:rFonts w:eastAsia="Times New Roman"/>
          <w:b/>
          <w:bCs/>
          <w:color w:val="auto"/>
          <w:sz w:val="28"/>
          <w:szCs w:val="28"/>
          <w:lang w:val="en-US" w:eastAsia="ru-RU"/>
        </w:rPr>
        <w:t xml:space="preserve">OME FUNCTIONS OF PROTEINS OF THE MICROVESICLES PRODUCED BY </w:t>
      </w:r>
      <w:r w:rsidR="00571ED0">
        <w:rPr>
          <w:rFonts w:eastAsia="Times New Roman"/>
          <w:b/>
          <w:bCs/>
          <w:color w:val="auto"/>
          <w:sz w:val="28"/>
          <w:szCs w:val="28"/>
          <w:lang w:val="en-US" w:eastAsia="ru-RU"/>
        </w:rPr>
        <w:t xml:space="preserve">THE </w:t>
      </w:r>
      <w:r w:rsidRPr="00077125">
        <w:rPr>
          <w:rFonts w:eastAsia="Times New Roman"/>
          <w:b/>
          <w:bCs/>
          <w:color w:val="auto"/>
          <w:sz w:val="28"/>
          <w:szCs w:val="28"/>
          <w:lang w:val="en-US" w:eastAsia="ru-RU"/>
        </w:rPr>
        <w:t xml:space="preserve">NK-92 </w:t>
      </w:r>
      <w:r w:rsidR="00571ED0">
        <w:rPr>
          <w:rFonts w:eastAsia="Times New Roman"/>
          <w:b/>
          <w:bCs/>
          <w:color w:val="auto"/>
          <w:sz w:val="28"/>
          <w:szCs w:val="28"/>
          <w:lang w:val="en-US" w:eastAsia="ru-RU"/>
        </w:rPr>
        <w:t>NATURAL KILLER CELL LINE</w:t>
      </w:r>
      <w:bookmarkStart w:id="0" w:name="_GoBack"/>
      <w:bookmarkEnd w:id="0"/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4961"/>
        <w:gridCol w:w="1701"/>
      </w:tblGrid>
      <w:tr w:rsidR="00A94B33" w:rsidRPr="00571ED0" w:rsidTr="00077125">
        <w:tc>
          <w:tcPr>
            <w:tcW w:w="2694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ind w:left="-221" w:firstLine="221"/>
              <w:jc w:val="center"/>
              <w:rPr>
                <w:rFonts w:eastAsia="Times New Roman"/>
                <w:b/>
                <w:color w:val="auto"/>
                <w:sz w:val="28"/>
                <w:szCs w:val="28"/>
                <w:lang w:val="en-US" w:eastAsia="ru-RU"/>
              </w:rPr>
            </w:pPr>
            <w:r w:rsidRPr="00077125">
              <w:rPr>
                <w:rFonts w:eastAsia="Times New Roman"/>
                <w:b/>
                <w:color w:val="auto"/>
                <w:sz w:val="28"/>
                <w:szCs w:val="28"/>
                <w:lang w:val="en-US" w:eastAsia="ru-RU"/>
              </w:rPr>
              <w:t>Protein</w:t>
            </w:r>
          </w:p>
        </w:tc>
        <w:tc>
          <w:tcPr>
            <w:tcW w:w="4961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jc w:val="center"/>
              <w:rPr>
                <w:rFonts w:eastAsia="Times New Roman"/>
                <w:b/>
                <w:color w:val="auto"/>
                <w:sz w:val="28"/>
                <w:szCs w:val="28"/>
                <w:lang w:val="en-US" w:eastAsia="ru-RU"/>
              </w:rPr>
            </w:pPr>
            <w:r w:rsidRPr="00077125">
              <w:rPr>
                <w:rFonts w:eastAsia="Times New Roman"/>
                <w:b/>
                <w:color w:val="auto"/>
                <w:sz w:val="28"/>
                <w:szCs w:val="28"/>
                <w:lang w:val="en-US" w:eastAsia="ru-RU"/>
              </w:rPr>
              <w:t>Function / References</w:t>
            </w:r>
          </w:p>
        </w:tc>
        <w:tc>
          <w:tcPr>
            <w:tcW w:w="1701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jc w:val="center"/>
              <w:rPr>
                <w:rFonts w:eastAsia="Times New Roman"/>
                <w:b/>
                <w:color w:val="auto"/>
                <w:sz w:val="28"/>
                <w:szCs w:val="28"/>
                <w:lang w:val="en-US" w:eastAsia="ru-RU"/>
              </w:rPr>
            </w:pPr>
            <w:r w:rsidRPr="00077125">
              <w:rPr>
                <w:rFonts w:eastAsia="Times New Roman"/>
                <w:b/>
                <w:color w:val="auto"/>
                <w:sz w:val="28"/>
                <w:szCs w:val="28"/>
                <w:lang w:val="en-US" w:eastAsia="ru-RU"/>
              </w:rPr>
              <w:t>Presence in NK cells / References</w:t>
            </w:r>
          </w:p>
        </w:tc>
      </w:tr>
      <w:tr w:rsidR="00A94B33" w:rsidRPr="00077125" w:rsidTr="00077125">
        <w:tc>
          <w:tcPr>
            <w:tcW w:w="2694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rPr>
                <w:color w:val="auto"/>
                <w:sz w:val="28"/>
                <w:szCs w:val="28"/>
              </w:rPr>
            </w:pPr>
            <w:r w:rsidRPr="00077125"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  <w:t>CCR</w:t>
            </w:r>
            <w:r w:rsidRPr="00077125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</w:pPr>
            <w:r w:rsidRPr="00077125"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  <w:t xml:space="preserve">CCL2 (MCP-1) </w:t>
            </w:r>
            <w:r w:rsidRPr="00077125">
              <w:rPr>
                <w:color w:val="auto"/>
                <w:sz w:val="28"/>
                <w:szCs w:val="28"/>
                <w:lang w:val="en-US"/>
              </w:rPr>
              <w:t>receptor</w:t>
            </w:r>
            <w:r w:rsidRPr="00077125"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  <w:t xml:space="preserve"> </w:t>
            </w:r>
            <w:r w:rsidRPr="00077125">
              <w:rPr>
                <w:rFonts w:eastAsia="Times New Roman"/>
                <w:bCs/>
                <w:noProof/>
                <w:color w:val="auto"/>
                <w:sz w:val="28"/>
                <w:szCs w:val="28"/>
                <w:lang w:val="en-US" w:eastAsia="ru-RU"/>
              </w:rPr>
              <w:t>[45]</w:t>
            </w:r>
            <w:r w:rsidRPr="00077125"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  <w:t xml:space="preserve">, control of cell migration </w:t>
            </w:r>
            <w:r w:rsidRPr="00077125">
              <w:rPr>
                <w:rFonts w:eastAsia="Times New Roman"/>
                <w:bCs/>
                <w:noProof/>
                <w:color w:val="auto"/>
                <w:sz w:val="28"/>
                <w:szCs w:val="28"/>
                <w:lang w:val="en-US" w:eastAsia="ru-RU"/>
              </w:rPr>
              <w:t>[16, 92]</w:t>
            </w:r>
            <w:r w:rsidRPr="00077125"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jc w:val="both"/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</w:pPr>
            <w:r w:rsidRPr="00077125">
              <w:rPr>
                <w:rFonts w:eastAsia="Times New Roman"/>
                <w:bCs/>
                <w:noProof/>
                <w:color w:val="auto"/>
                <w:sz w:val="28"/>
                <w:szCs w:val="28"/>
                <w:lang w:eastAsia="ru-RU"/>
              </w:rPr>
              <w:t>[22, 74, 92]</w:t>
            </w:r>
          </w:p>
        </w:tc>
      </w:tr>
      <w:tr w:rsidR="00A94B33" w:rsidRPr="00077125" w:rsidTr="00077125">
        <w:tc>
          <w:tcPr>
            <w:tcW w:w="2694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rPr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077125">
              <w:rPr>
                <w:bCs/>
                <w:color w:val="auto"/>
                <w:sz w:val="28"/>
                <w:szCs w:val="28"/>
                <w:shd w:val="clear" w:color="auto" w:fill="FFFFFF"/>
                <w:lang w:val="en-US"/>
              </w:rPr>
              <w:t>CCR</w:t>
            </w:r>
            <w:r w:rsidRPr="00077125">
              <w:rPr>
                <w:bCs/>
                <w:color w:val="auto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A94B33" w:rsidRPr="00077125" w:rsidRDefault="00A94B33" w:rsidP="0007712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07712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CCL5, CCL7, CCL11, CCL13, CCL15, CCL24, CCL26, and CCL28 receptor </w:t>
            </w:r>
            <w:r w:rsidRPr="00077125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[72]</w:t>
            </w:r>
          </w:p>
        </w:tc>
        <w:tc>
          <w:tcPr>
            <w:tcW w:w="1701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jc w:val="both"/>
              <w:rPr>
                <w:bCs/>
                <w:color w:val="auto"/>
                <w:sz w:val="28"/>
                <w:szCs w:val="28"/>
                <w:shd w:val="clear" w:color="auto" w:fill="FFFFFF"/>
                <w:lang w:val="en-US"/>
              </w:rPr>
            </w:pPr>
            <w:r w:rsidRPr="00077125">
              <w:rPr>
                <w:bCs/>
                <w:color w:val="auto"/>
                <w:sz w:val="28"/>
                <w:szCs w:val="28"/>
                <w:shd w:val="clear" w:color="auto" w:fill="FFFFFF"/>
                <w:lang w:val="en-US"/>
              </w:rPr>
              <w:t>N/A</w:t>
            </w:r>
          </w:p>
        </w:tc>
      </w:tr>
      <w:tr w:rsidR="00A94B33" w:rsidRPr="00077125" w:rsidTr="00077125">
        <w:tc>
          <w:tcPr>
            <w:tcW w:w="2694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rPr>
                <w:color w:val="auto"/>
                <w:sz w:val="28"/>
                <w:szCs w:val="28"/>
                <w:lang w:val="en-US"/>
              </w:rPr>
            </w:pPr>
            <w:r w:rsidRPr="00077125">
              <w:rPr>
                <w:color w:val="auto"/>
                <w:sz w:val="28"/>
                <w:szCs w:val="28"/>
                <w:lang w:val="en-US"/>
              </w:rPr>
              <w:t>CCR7</w:t>
            </w:r>
          </w:p>
        </w:tc>
        <w:tc>
          <w:tcPr>
            <w:tcW w:w="4961" w:type="dxa"/>
            <w:shd w:val="clear" w:color="auto" w:fill="auto"/>
          </w:tcPr>
          <w:p w:rsidR="00A94B33" w:rsidRPr="00077125" w:rsidRDefault="00A94B33" w:rsidP="008C06D3">
            <w:pPr>
              <w:pStyle w:val="Default"/>
              <w:spacing w:line="480" w:lineRule="auto"/>
              <w:rPr>
                <w:color w:val="auto"/>
                <w:sz w:val="28"/>
                <w:szCs w:val="28"/>
                <w:lang w:val="en-US"/>
              </w:rPr>
            </w:pPr>
            <w:r w:rsidRPr="00077125">
              <w:rPr>
                <w:color w:val="auto"/>
                <w:sz w:val="28"/>
                <w:szCs w:val="28"/>
                <w:lang w:val="en-US"/>
              </w:rPr>
              <w:t xml:space="preserve">CCL19 and CCL21 receptor </w:t>
            </w:r>
            <w:r w:rsidRPr="00077125">
              <w:rPr>
                <w:noProof/>
                <w:color w:val="auto"/>
                <w:sz w:val="28"/>
                <w:szCs w:val="28"/>
                <w:lang w:val="en-US"/>
              </w:rPr>
              <w:t>[102]</w:t>
            </w:r>
            <w:r w:rsidRPr="00077125">
              <w:rPr>
                <w:color w:val="auto"/>
                <w:sz w:val="28"/>
                <w:szCs w:val="28"/>
                <w:lang w:val="en-US"/>
              </w:rPr>
              <w:t xml:space="preserve">, </w:t>
            </w:r>
            <w:r w:rsidRPr="00077125"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  <w:t xml:space="preserve">control of </w:t>
            </w:r>
            <w:r w:rsidR="008C06D3"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  <w:t xml:space="preserve">cell </w:t>
            </w:r>
            <w:r w:rsidRPr="00077125"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  <w:t xml:space="preserve">migration into the lymph node </w:t>
            </w:r>
            <w:r w:rsidRPr="00077125">
              <w:rPr>
                <w:rFonts w:eastAsia="Times New Roman"/>
                <w:bCs/>
                <w:noProof/>
                <w:color w:val="auto"/>
                <w:sz w:val="28"/>
                <w:szCs w:val="28"/>
                <w:lang w:val="en-US" w:eastAsia="ru-RU"/>
              </w:rPr>
              <w:t>[73]</w:t>
            </w:r>
          </w:p>
        </w:tc>
        <w:tc>
          <w:tcPr>
            <w:tcW w:w="1701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jc w:val="both"/>
              <w:rPr>
                <w:color w:val="auto"/>
                <w:sz w:val="28"/>
                <w:szCs w:val="28"/>
                <w:lang w:val="en-US"/>
              </w:rPr>
            </w:pPr>
            <w:r w:rsidRPr="00077125">
              <w:rPr>
                <w:noProof/>
                <w:color w:val="auto"/>
                <w:sz w:val="28"/>
                <w:szCs w:val="28"/>
                <w:lang w:val="en-US"/>
              </w:rPr>
              <w:t>[17, 41, 73]</w:t>
            </w:r>
          </w:p>
        </w:tc>
      </w:tr>
      <w:tr w:rsidR="00A94B33" w:rsidRPr="00077125" w:rsidTr="00077125">
        <w:tc>
          <w:tcPr>
            <w:tcW w:w="2694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rPr>
                <w:color w:val="auto"/>
                <w:sz w:val="28"/>
                <w:szCs w:val="28"/>
              </w:rPr>
            </w:pPr>
            <w:r w:rsidRPr="00077125">
              <w:rPr>
                <w:color w:val="auto"/>
                <w:sz w:val="28"/>
                <w:szCs w:val="28"/>
                <w:lang w:val="en-US"/>
              </w:rPr>
              <w:t>Interleukin-15 receptor</w:t>
            </w:r>
            <w:r w:rsidRPr="00077125">
              <w:rPr>
                <w:color w:val="auto"/>
                <w:sz w:val="28"/>
                <w:szCs w:val="28"/>
              </w:rPr>
              <w:t xml:space="preserve"> (</w:t>
            </w:r>
            <w:r w:rsidRPr="00077125">
              <w:rPr>
                <w:color w:val="auto"/>
                <w:sz w:val="28"/>
                <w:szCs w:val="28"/>
                <w:lang w:val="en-US"/>
              </w:rPr>
              <w:t>IL15RA</w:t>
            </w:r>
            <w:r w:rsidRPr="00077125">
              <w:rPr>
                <w:color w:val="auto"/>
                <w:sz w:val="28"/>
                <w:szCs w:val="28"/>
              </w:rPr>
              <w:t xml:space="preserve">, </w:t>
            </w:r>
            <w:r w:rsidRPr="00077125">
              <w:rPr>
                <w:bCs/>
                <w:color w:val="auto"/>
                <w:sz w:val="28"/>
                <w:szCs w:val="28"/>
              </w:rPr>
              <w:t>CD215</w:t>
            </w:r>
            <w:r w:rsidRPr="00077125"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rPr>
                <w:color w:val="auto"/>
                <w:sz w:val="28"/>
                <w:szCs w:val="28"/>
                <w:lang w:val="en-US"/>
              </w:rPr>
            </w:pPr>
            <w:r w:rsidRPr="00077125">
              <w:rPr>
                <w:color w:val="auto"/>
                <w:sz w:val="28"/>
                <w:szCs w:val="28"/>
                <w:lang w:val="en-US"/>
              </w:rPr>
              <w:t xml:space="preserve">IL-15 receptor, regulation of cell activity and proliferation </w:t>
            </w:r>
            <w:r w:rsidRPr="00077125">
              <w:rPr>
                <w:noProof/>
                <w:color w:val="auto"/>
                <w:sz w:val="28"/>
                <w:szCs w:val="28"/>
                <w:lang w:val="en-US"/>
              </w:rPr>
              <w:t>[9]</w:t>
            </w:r>
          </w:p>
        </w:tc>
        <w:tc>
          <w:tcPr>
            <w:tcW w:w="1701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jc w:val="both"/>
              <w:rPr>
                <w:color w:val="auto"/>
                <w:sz w:val="28"/>
                <w:szCs w:val="28"/>
                <w:lang w:val="en-US"/>
              </w:rPr>
            </w:pPr>
            <w:r w:rsidRPr="00077125">
              <w:rPr>
                <w:noProof/>
                <w:color w:val="auto"/>
                <w:sz w:val="28"/>
                <w:szCs w:val="28"/>
                <w:lang w:val="en-US"/>
              </w:rPr>
              <w:t>[7, 55]</w:t>
            </w:r>
          </w:p>
        </w:tc>
      </w:tr>
      <w:tr w:rsidR="00A94B33" w:rsidRPr="00077125" w:rsidTr="00077125">
        <w:tc>
          <w:tcPr>
            <w:tcW w:w="2694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rPr>
                <w:color w:val="auto"/>
                <w:sz w:val="28"/>
                <w:szCs w:val="28"/>
                <w:lang w:val="en-US"/>
              </w:rPr>
            </w:pPr>
            <w:r w:rsidRPr="00077125">
              <w:rPr>
                <w:color w:val="auto"/>
                <w:sz w:val="28"/>
                <w:szCs w:val="28"/>
                <w:lang w:val="en-US"/>
              </w:rPr>
              <w:t>Integrin α6 (</w:t>
            </w:r>
            <w:r w:rsidRPr="00077125">
              <w:rPr>
                <w:bCs/>
                <w:color w:val="auto"/>
                <w:sz w:val="28"/>
                <w:szCs w:val="28"/>
                <w:lang w:val="en-US"/>
              </w:rPr>
              <w:t>CD49f</w:t>
            </w:r>
            <w:r w:rsidRPr="00077125">
              <w:rPr>
                <w:color w:val="auto"/>
                <w:sz w:val="28"/>
                <w:szCs w:val="28"/>
                <w:lang w:val="en-US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rPr>
                <w:color w:val="auto"/>
                <w:sz w:val="28"/>
                <w:szCs w:val="28"/>
                <w:lang w:val="en-US"/>
              </w:rPr>
            </w:pPr>
            <w:r w:rsidRPr="00077125">
              <w:rPr>
                <w:color w:val="auto"/>
                <w:sz w:val="28"/>
                <w:szCs w:val="28"/>
                <w:lang w:val="en-US"/>
              </w:rPr>
              <w:t xml:space="preserve">integrin receptor, </w:t>
            </w:r>
            <w:r w:rsidRPr="00077125">
              <w:rPr>
                <w:rStyle w:val="st"/>
                <w:color w:val="auto"/>
                <w:sz w:val="28"/>
                <w:szCs w:val="28"/>
                <w:lang w:val="en-US"/>
              </w:rPr>
              <w:t xml:space="preserve">integrin-mediated cell </w:t>
            </w:r>
            <w:r w:rsidRPr="00077125">
              <w:rPr>
                <w:rStyle w:val="a3"/>
                <w:i w:val="0"/>
                <w:color w:val="auto"/>
                <w:sz w:val="28"/>
                <w:szCs w:val="28"/>
                <w:lang w:val="en-US"/>
              </w:rPr>
              <w:t>adhesion to extracellular matrix components</w:t>
            </w:r>
            <w:r w:rsidRPr="00077125">
              <w:rPr>
                <w:color w:val="auto"/>
                <w:sz w:val="28"/>
                <w:szCs w:val="28"/>
                <w:lang w:val="en-US"/>
              </w:rPr>
              <w:t xml:space="preserve"> (laminin, collagen, and fibronectin) </w:t>
            </w:r>
            <w:r w:rsidRPr="00077125">
              <w:rPr>
                <w:noProof/>
                <w:color w:val="auto"/>
                <w:sz w:val="28"/>
                <w:szCs w:val="28"/>
                <w:lang w:val="en-US"/>
              </w:rPr>
              <w:t>[37]</w:t>
            </w:r>
          </w:p>
        </w:tc>
        <w:tc>
          <w:tcPr>
            <w:tcW w:w="1701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jc w:val="both"/>
              <w:rPr>
                <w:color w:val="auto"/>
                <w:sz w:val="28"/>
                <w:szCs w:val="28"/>
                <w:lang w:val="en-US"/>
              </w:rPr>
            </w:pPr>
            <w:r w:rsidRPr="00077125">
              <w:rPr>
                <w:noProof/>
                <w:color w:val="auto"/>
                <w:sz w:val="28"/>
                <w:szCs w:val="28"/>
                <w:lang w:val="en-US"/>
              </w:rPr>
              <w:t>[26]</w:t>
            </w:r>
          </w:p>
        </w:tc>
      </w:tr>
      <w:tr w:rsidR="00A94B33" w:rsidRPr="00077125" w:rsidTr="00077125">
        <w:tc>
          <w:tcPr>
            <w:tcW w:w="2694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rPr>
                <w:color w:val="auto"/>
                <w:sz w:val="28"/>
                <w:szCs w:val="28"/>
                <w:lang w:val="en-US"/>
              </w:rPr>
            </w:pPr>
            <w:r w:rsidRPr="00077125">
              <w:rPr>
                <w:color w:val="auto"/>
                <w:sz w:val="28"/>
                <w:szCs w:val="28"/>
                <w:lang w:val="en-US"/>
              </w:rPr>
              <w:t xml:space="preserve">Low affinity immunoglobulin gamma Fc region </w:t>
            </w:r>
            <w:r w:rsidRPr="00077125">
              <w:rPr>
                <w:color w:val="auto"/>
                <w:sz w:val="28"/>
                <w:szCs w:val="28"/>
                <w:lang w:val="en-US"/>
              </w:rPr>
              <w:lastRenderedPageBreak/>
              <w:t>receptor III-A (Fc-gamma RIIIα,</w:t>
            </w:r>
            <w:r w:rsidRPr="00077125">
              <w:rPr>
                <w:bCs/>
                <w:color w:val="auto"/>
                <w:sz w:val="28"/>
                <w:szCs w:val="28"/>
                <w:lang w:val="en-US"/>
              </w:rPr>
              <w:t xml:space="preserve"> CD16a</w:t>
            </w:r>
            <w:r w:rsidRPr="00077125">
              <w:rPr>
                <w:color w:val="auto"/>
                <w:sz w:val="28"/>
                <w:szCs w:val="28"/>
                <w:lang w:val="en-US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rPr>
                <w:color w:val="auto"/>
                <w:sz w:val="28"/>
                <w:szCs w:val="28"/>
                <w:lang w:val="en-US"/>
              </w:rPr>
            </w:pPr>
            <w:r w:rsidRPr="00077125">
              <w:rPr>
                <w:color w:val="auto"/>
                <w:sz w:val="28"/>
                <w:szCs w:val="28"/>
                <w:lang w:val="en-US"/>
              </w:rPr>
              <w:lastRenderedPageBreak/>
              <w:t xml:space="preserve">IgG receptor, antibody-dependent cell cytotoxicity </w:t>
            </w:r>
            <w:r w:rsidRPr="00077125">
              <w:rPr>
                <w:noProof/>
                <w:color w:val="auto"/>
                <w:sz w:val="28"/>
                <w:szCs w:val="28"/>
                <w:lang w:val="en-US"/>
              </w:rPr>
              <w:t>[68]</w:t>
            </w:r>
          </w:p>
        </w:tc>
        <w:tc>
          <w:tcPr>
            <w:tcW w:w="1701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jc w:val="both"/>
              <w:rPr>
                <w:color w:val="auto"/>
                <w:sz w:val="28"/>
                <w:szCs w:val="28"/>
              </w:rPr>
            </w:pPr>
            <w:r w:rsidRPr="00077125">
              <w:rPr>
                <w:noProof/>
                <w:color w:val="auto"/>
                <w:sz w:val="28"/>
                <w:szCs w:val="28"/>
              </w:rPr>
              <w:t>[4, 68]</w:t>
            </w:r>
          </w:p>
        </w:tc>
      </w:tr>
      <w:tr w:rsidR="00A94B33" w:rsidRPr="00077125" w:rsidTr="00077125">
        <w:tc>
          <w:tcPr>
            <w:tcW w:w="2694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rPr>
                <w:color w:val="auto"/>
                <w:sz w:val="28"/>
                <w:szCs w:val="28"/>
                <w:lang w:val="en-US"/>
              </w:rPr>
            </w:pPr>
            <w:r w:rsidRPr="00077125">
              <w:rPr>
                <w:color w:val="auto"/>
                <w:sz w:val="28"/>
                <w:szCs w:val="28"/>
                <w:lang w:val="en-US"/>
              </w:rPr>
              <w:t>Prostaglandin E2 receptor EP4 subtype (EP4</w:t>
            </w:r>
            <w:r w:rsidRPr="00077125">
              <w:rPr>
                <w:bCs/>
                <w:color w:val="auto"/>
                <w:sz w:val="28"/>
                <w:szCs w:val="28"/>
                <w:shd w:val="clear" w:color="auto" w:fill="FFFFFF"/>
                <w:lang w:val="en-US"/>
              </w:rPr>
              <w:t xml:space="preserve">) </w:t>
            </w:r>
            <w:r w:rsidRPr="00077125">
              <w:rPr>
                <w:bCs/>
                <w:noProof/>
                <w:color w:val="auto"/>
                <w:sz w:val="28"/>
                <w:szCs w:val="28"/>
                <w:shd w:val="clear" w:color="auto" w:fill="FFFFFF"/>
                <w:lang w:val="en-US"/>
              </w:rPr>
              <w:t>[63]</w:t>
            </w:r>
          </w:p>
        </w:tc>
        <w:tc>
          <w:tcPr>
            <w:tcW w:w="4961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rPr>
                <w:color w:val="auto"/>
                <w:sz w:val="28"/>
                <w:szCs w:val="28"/>
                <w:lang w:val="en-US"/>
              </w:rPr>
            </w:pPr>
            <w:r w:rsidRPr="00077125">
              <w:rPr>
                <w:color w:val="auto"/>
                <w:sz w:val="28"/>
                <w:szCs w:val="28"/>
                <w:lang w:val="en-US"/>
              </w:rPr>
              <w:t xml:space="preserve">PGE2 receptor, inhibition of cell cytotoxicity </w:t>
            </w:r>
            <w:r w:rsidRPr="00077125">
              <w:rPr>
                <w:noProof/>
                <w:color w:val="auto"/>
                <w:sz w:val="28"/>
                <w:szCs w:val="28"/>
                <w:lang w:val="en-US"/>
              </w:rPr>
              <w:t>[51, 71]</w:t>
            </w:r>
          </w:p>
        </w:tc>
        <w:tc>
          <w:tcPr>
            <w:tcW w:w="1701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jc w:val="both"/>
              <w:rPr>
                <w:color w:val="auto"/>
                <w:sz w:val="28"/>
                <w:szCs w:val="28"/>
              </w:rPr>
            </w:pPr>
            <w:r w:rsidRPr="00077125">
              <w:rPr>
                <w:noProof/>
                <w:color w:val="auto"/>
                <w:sz w:val="28"/>
                <w:szCs w:val="28"/>
              </w:rPr>
              <w:t>[25]</w:t>
            </w:r>
          </w:p>
        </w:tc>
      </w:tr>
      <w:tr w:rsidR="00A94B33" w:rsidRPr="00077125" w:rsidTr="00077125">
        <w:tc>
          <w:tcPr>
            <w:tcW w:w="2694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rPr>
                <w:color w:val="auto"/>
                <w:sz w:val="28"/>
                <w:szCs w:val="28"/>
                <w:lang w:val="en-US"/>
              </w:rPr>
            </w:pPr>
            <w:r w:rsidRPr="00077125"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  <w:t>Signaling lymphocytic activation molecule (</w:t>
            </w:r>
            <w:r w:rsidRPr="00077125">
              <w:rPr>
                <w:color w:val="auto"/>
                <w:sz w:val="28"/>
                <w:szCs w:val="28"/>
                <w:shd w:val="clear" w:color="auto" w:fill="FFFFFF"/>
                <w:lang w:val="en-US"/>
              </w:rPr>
              <w:t xml:space="preserve">SLAMF1, </w:t>
            </w:r>
            <w:r w:rsidRPr="00077125">
              <w:rPr>
                <w:bCs/>
                <w:color w:val="auto"/>
                <w:sz w:val="28"/>
                <w:szCs w:val="28"/>
                <w:shd w:val="clear" w:color="auto" w:fill="FFFFFF"/>
                <w:lang w:val="en-US"/>
              </w:rPr>
              <w:t>CD150</w:t>
            </w:r>
            <w:r w:rsidRPr="00077125">
              <w:rPr>
                <w:color w:val="auto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</w:pPr>
            <w:r w:rsidRPr="00077125"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  <w:t xml:space="preserve">receptor found on NKT cells, differentiation, bacterial antigen binding </w:t>
            </w:r>
            <w:r w:rsidRPr="00077125">
              <w:rPr>
                <w:rFonts w:eastAsia="Times New Roman"/>
                <w:bCs/>
                <w:noProof/>
                <w:color w:val="auto"/>
                <w:sz w:val="28"/>
                <w:szCs w:val="28"/>
                <w:lang w:val="en-US" w:eastAsia="ru-RU"/>
              </w:rPr>
              <w:t>[91]</w:t>
            </w:r>
          </w:p>
        </w:tc>
        <w:tc>
          <w:tcPr>
            <w:tcW w:w="1701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jc w:val="both"/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</w:pPr>
            <w:r w:rsidRPr="00077125"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  <w:t>N/A</w:t>
            </w:r>
          </w:p>
        </w:tc>
      </w:tr>
      <w:tr w:rsidR="00A94B33" w:rsidRPr="00077125" w:rsidTr="00077125">
        <w:tc>
          <w:tcPr>
            <w:tcW w:w="2694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</w:pPr>
            <w:r w:rsidRPr="00077125">
              <w:rPr>
                <w:color w:val="auto"/>
                <w:sz w:val="28"/>
                <w:szCs w:val="28"/>
                <w:lang w:val="en-US"/>
              </w:rPr>
              <w:t>Thyroid hormone receptor α1 (THRA)</w:t>
            </w:r>
          </w:p>
        </w:tc>
        <w:tc>
          <w:tcPr>
            <w:tcW w:w="4961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rPr>
                <w:color w:val="auto"/>
                <w:sz w:val="28"/>
                <w:szCs w:val="28"/>
                <w:lang w:val="en-US"/>
              </w:rPr>
            </w:pPr>
            <w:r w:rsidRPr="00077125">
              <w:rPr>
                <w:color w:val="auto"/>
                <w:sz w:val="28"/>
                <w:szCs w:val="28"/>
                <w:lang w:val="en-US"/>
              </w:rPr>
              <w:t>T3 receptor, enhancing of cell cytotoxicity and response to IFN</w:t>
            </w:r>
            <w:r w:rsidRPr="00077125">
              <w:rPr>
                <w:color w:val="auto"/>
                <w:sz w:val="28"/>
                <w:szCs w:val="28"/>
              </w:rPr>
              <w:t>γ</w:t>
            </w:r>
            <w:r w:rsidRPr="00077125">
              <w:rPr>
                <w:color w:val="auto"/>
                <w:sz w:val="28"/>
                <w:szCs w:val="28"/>
                <w:lang w:val="en-US"/>
              </w:rPr>
              <w:t xml:space="preserve"> </w:t>
            </w:r>
            <w:r w:rsidRPr="00077125">
              <w:rPr>
                <w:noProof/>
                <w:color w:val="auto"/>
                <w:sz w:val="28"/>
                <w:szCs w:val="28"/>
                <w:lang w:val="en-US"/>
              </w:rPr>
              <w:t>[61]</w:t>
            </w:r>
          </w:p>
        </w:tc>
        <w:tc>
          <w:tcPr>
            <w:tcW w:w="1701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jc w:val="both"/>
              <w:rPr>
                <w:color w:val="auto"/>
                <w:sz w:val="28"/>
                <w:szCs w:val="28"/>
              </w:rPr>
            </w:pPr>
            <w:r w:rsidRPr="00077125">
              <w:rPr>
                <w:noProof/>
                <w:color w:val="auto"/>
                <w:sz w:val="28"/>
                <w:szCs w:val="28"/>
              </w:rPr>
              <w:t>[94]</w:t>
            </w:r>
          </w:p>
        </w:tc>
      </w:tr>
      <w:tr w:rsidR="00A94B33" w:rsidRPr="00571ED0" w:rsidTr="00077125">
        <w:tc>
          <w:tcPr>
            <w:tcW w:w="2694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</w:pPr>
            <w:r w:rsidRPr="00077125">
              <w:rPr>
                <w:color w:val="auto"/>
                <w:sz w:val="28"/>
                <w:szCs w:val="28"/>
                <w:lang w:val="en-US"/>
              </w:rPr>
              <w:t>Triiodothyronine receptor</w:t>
            </w:r>
          </w:p>
        </w:tc>
        <w:tc>
          <w:tcPr>
            <w:tcW w:w="4961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rPr>
                <w:color w:val="auto"/>
                <w:sz w:val="28"/>
                <w:szCs w:val="28"/>
                <w:lang w:val="en-US"/>
              </w:rPr>
            </w:pPr>
            <w:r w:rsidRPr="00077125">
              <w:rPr>
                <w:color w:val="auto"/>
                <w:sz w:val="28"/>
                <w:szCs w:val="28"/>
                <w:lang w:val="en-US"/>
              </w:rPr>
              <w:t>same as Thyroid hormone receptor alpha 1 (THRA; according to https://www.uniprot.org)</w:t>
            </w:r>
          </w:p>
        </w:tc>
        <w:tc>
          <w:tcPr>
            <w:tcW w:w="1701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jc w:val="both"/>
              <w:rPr>
                <w:color w:val="auto"/>
                <w:sz w:val="28"/>
                <w:szCs w:val="28"/>
                <w:lang w:val="en-US"/>
              </w:rPr>
            </w:pPr>
          </w:p>
        </w:tc>
      </w:tr>
      <w:tr w:rsidR="00A94B33" w:rsidRPr="00077125" w:rsidTr="00077125">
        <w:tc>
          <w:tcPr>
            <w:tcW w:w="2694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</w:pPr>
            <w:r w:rsidRPr="00077125">
              <w:rPr>
                <w:color w:val="auto"/>
                <w:sz w:val="28"/>
                <w:szCs w:val="28"/>
                <w:lang w:val="en-US"/>
              </w:rPr>
              <w:t xml:space="preserve">Dual specificity mitogen-activated protein kinase </w:t>
            </w:r>
            <w:proofErr w:type="spellStart"/>
            <w:r w:rsidRPr="00077125">
              <w:rPr>
                <w:color w:val="auto"/>
                <w:sz w:val="28"/>
                <w:szCs w:val="28"/>
                <w:lang w:val="en-US"/>
              </w:rPr>
              <w:t>kinase</w:t>
            </w:r>
            <w:proofErr w:type="spellEnd"/>
            <w:r w:rsidRPr="00077125">
              <w:rPr>
                <w:color w:val="auto"/>
                <w:sz w:val="28"/>
                <w:szCs w:val="28"/>
                <w:lang w:val="en-US"/>
              </w:rPr>
              <w:t xml:space="preserve"> 6 (MAP2K6)</w:t>
            </w:r>
          </w:p>
        </w:tc>
        <w:tc>
          <w:tcPr>
            <w:tcW w:w="4961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rPr>
                <w:color w:val="auto"/>
                <w:sz w:val="28"/>
                <w:szCs w:val="28"/>
                <w:lang w:val="en-US"/>
              </w:rPr>
            </w:pPr>
            <w:r w:rsidRPr="00077125">
              <w:rPr>
                <w:color w:val="auto"/>
                <w:sz w:val="28"/>
                <w:szCs w:val="28"/>
                <w:lang w:val="en-US"/>
              </w:rPr>
              <w:t xml:space="preserve">intracellular signaling (the mitogen-activated protein kinase (MAPK)/ERK-signaling pathway), control of viability, control of activating receptor expression, inhibition of activated cell proliferation </w:t>
            </w:r>
            <w:r w:rsidRPr="00077125">
              <w:rPr>
                <w:noProof/>
                <w:color w:val="auto"/>
                <w:sz w:val="28"/>
                <w:szCs w:val="28"/>
                <w:lang w:val="en-US"/>
              </w:rPr>
              <w:t>[54]</w:t>
            </w:r>
          </w:p>
        </w:tc>
        <w:tc>
          <w:tcPr>
            <w:tcW w:w="1701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jc w:val="both"/>
              <w:rPr>
                <w:color w:val="auto"/>
                <w:sz w:val="28"/>
                <w:szCs w:val="28"/>
              </w:rPr>
            </w:pPr>
            <w:r w:rsidRPr="00077125">
              <w:rPr>
                <w:noProof/>
                <w:color w:val="auto"/>
                <w:sz w:val="28"/>
                <w:szCs w:val="28"/>
              </w:rPr>
              <w:t>[54]</w:t>
            </w:r>
          </w:p>
        </w:tc>
      </w:tr>
      <w:tr w:rsidR="00A94B33" w:rsidRPr="00077125" w:rsidTr="00077125">
        <w:tc>
          <w:tcPr>
            <w:tcW w:w="2694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rPr>
                <w:color w:val="auto"/>
                <w:sz w:val="28"/>
                <w:szCs w:val="28"/>
                <w:shd w:val="clear" w:color="auto" w:fill="FFFFFF"/>
                <w:lang w:val="en-US"/>
              </w:rPr>
            </w:pPr>
            <w:r w:rsidRPr="00077125"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  <w:lastRenderedPageBreak/>
              <w:t xml:space="preserve">Rho family </w:t>
            </w:r>
            <w:proofErr w:type="spellStart"/>
            <w:r w:rsidRPr="00077125"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  <w:t>GTPase</w:t>
            </w:r>
            <w:proofErr w:type="spellEnd"/>
            <w:r w:rsidRPr="00077125"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  <w:t xml:space="preserve"> 3 isoform CRA (</w:t>
            </w:r>
            <w:r w:rsidRPr="00077125">
              <w:rPr>
                <w:color w:val="auto"/>
                <w:sz w:val="28"/>
                <w:szCs w:val="28"/>
                <w:shd w:val="clear" w:color="auto" w:fill="FFFFFF"/>
                <w:lang w:val="en-US"/>
              </w:rPr>
              <w:t>RND3)</w:t>
            </w:r>
          </w:p>
        </w:tc>
        <w:tc>
          <w:tcPr>
            <w:tcW w:w="4961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rPr>
                <w:rFonts w:eastAsia="Times New Roman"/>
                <w:bCs/>
                <w:color w:val="auto"/>
                <w:sz w:val="28"/>
                <w:szCs w:val="28"/>
                <w:lang w:val="en-US" w:eastAsia="ru-RU"/>
              </w:rPr>
            </w:pPr>
            <w:r w:rsidRPr="00077125">
              <w:rPr>
                <w:color w:val="auto"/>
                <w:sz w:val="28"/>
                <w:szCs w:val="28"/>
                <w:lang w:val="en-US"/>
              </w:rPr>
              <w:t xml:space="preserve">intracellular signaling, control of cytoskeletal rearrangement, control of interactions of actin filaments and microtubules in cell cytotoxicity implementation process </w:t>
            </w:r>
            <w:r w:rsidRPr="00077125">
              <w:rPr>
                <w:noProof/>
                <w:color w:val="auto"/>
                <w:sz w:val="28"/>
                <w:szCs w:val="28"/>
                <w:lang w:val="en-US"/>
              </w:rPr>
              <w:t>[53]</w:t>
            </w:r>
          </w:p>
        </w:tc>
        <w:tc>
          <w:tcPr>
            <w:tcW w:w="1701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jc w:val="both"/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</w:pPr>
            <w:r w:rsidRPr="00077125">
              <w:rPr>
                <w:rFonts w:eastAsia="Times New Roman"/>
                <w:bCs/>
                <w:noProof/>
                <w:color w:val="auto"/>
                <w:sz w:val="28"/>
                <w:szCs w:val="28"/>
                <w:lang w:eastAsia="ru-RU"/>
              </w:rPr>
              <w:t>[53]</w:t>
            </w:r>
          </w:p>
        </w:tc>
      </w:tr>
      <w:tr w:rsidR="00A94B33" w:rsidRPr="00077125" w:rsidTr="00077125">
        <w:tc>
          <w:tcPr>
            <w:tcW w:w="2694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rPr>
                <w:color w:val="auto"/>
                <w:sz w:val="28"/>
                <w:szCs w:val="28"/>
                <w:lang w:val="en-US"/>
              </w:rPr>
            </w:pPr>
            <w:r w:rsidRPr="00077125">
              <w:rPr>
                <w:color w:val="auto"/>
                <w:sz w:val="28"/>
                <w:szCs w:val="28"/>
                <w:lang w:val="en-US"/>
              </w:rPr>
              <w:t>Tyrosine-protein kinase ITK/TSK (ITK)</w:t>
            </w:r>
          </w:p>
        </w:tc>
        <w:tc>
          <w:tcPr>
            <w:tcW w:w="4961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rPr>
                <w:color w:val="auto"/>
                <w:sz w:val="28"/>
                <w:szCs w:val="28"/>
                <w:lang w:val="en-US"/>
              </w:rPr>
            </w:pPr>
            <w:r w:rsidRPr="00077125">
              <w:rPr>
                <w:color w:val="auto"/>
                <w:sz w:val="28"/>
                <w:szCs w:val="28"/>
                <w:lang w:val="en-US"/>
              </w:rPr>
              <w:t xml:space="preserve">intracellular signaling, cell cytotoxicity control </w:t>
            </w:r>
            <w:r w:rsidRPr="00077125">
              <w:rPr>
                <w:noProof/>
                <w:color w:val="auto"/>
                <w:sz w:val="28"/>
                <w:szCs w:val="28"/>
                <w:lang w:val="en-US"/>
              </w:rPr>
              <w:t>[31]</w:t>
            </w:r>
          </w:p>
        </w:tc>
        <w:tc>
          <w:tcPr>
            <w:tcW w:w="1701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jc w:val="both"/>
              <w:rPr>
                <w:color w:val="auto"/>
                <w:sz w:val="28"/>
                <w:szCs w:val="28"/>
                <w:lang w:val="en-US"/>
              </w:rPr>
            </w:pPr>
            <w:r w:rsidRPr="00077125">
              <w:rPr>
                <w:noProof/>
                <w:color w:val="auto"/>
                <w:sz w:val="28"/>
                <w:szCs w:val="28"/>
                <w:lang w:val="en-US"/>
              </w:rPr>
              <w:t>[31, 103]</w:t>
            </w:r>
          </w:p>
        </w:tc>
      </w:tr>
      <w:tr w:rsidR="00A94B33" w:rsidRPr="00077125" w:rsidTr="00077125">
        <w:tc>
          <w:tcPr>
            <w:tcW w:w="2694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rPr>
                <w:color w:val="auto"/>
                <w:sz w:val="28"/>
                <w:szCs w:val="28"/>
                <w:lang w:val="en-US"/>
              </w:rPr>
            </w:pPr>
            <w:r w:rsidRPr="00077125">
              <w:rPr>
                <w:color w:val="auto"/>
                <w:sz w:val="28"/>
                <w:szCs w:val="28"/>
                <w:lang w:val="en-US"/>
              </w:rPr>
              <w:t>Tyrosine-protein kinase Lyn isoform 1 (LYN)</w:t>
            </w:r>
          </w:p>
        </w:tc>
        <w:tc>
          <w:tcPr>
            <w:tcW w:w="4961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rPr>
                <w:color w:val="auto"/>
                <w:sz w:val="28"/>
                <w:szCs w:val="28"/>
                <w:lang w:val="en-US"/>
              </w:rPr>
            </w:pPr>
            <w:r w:rsidRPr="00077125">
              <w:rPr>
                <w:color w:val="auto"/>
                <w:sz w:val="28"/>
                <w:szCs w:val="28"/>
                <w:lang w:val="en-US"/>
              </w:rPr>
              <w:t xml:space="preserve">intracellular signaling, signaling via CD94 and NKR-P1, control of cell cytotoxicity </w:t>
            </w:r>
            <w:r w:rsidRPr="00077125">
              <w:rPr>
                <w:noProof/>
                <w:color w:val="auto"/>
                <w:sz w:val="28"/>
                <w:szCs w:val="28"/>
                <w:lang w:val="en-US"/>
              </w:rPr>
              <w:t>[70]</w:t>
            </w:r>
          </w:p>
        </w:tc>
        <w:tc>
          <w:tcPr>
            <w:tcW w:w="1701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jc w:val="both"/>
              <w:rPr>
                <w:color w:val="auto"/>
                <w:sz w:val="28"/>
                <w:szCs w:val="28"/>
                <w:lang w:val="en-US"/>
              </w:rPr>
            </w:pPr>
            <w:r w:rsidRPr="00077125">
              <w:rPr>
                <w:noProof/>
                <w:color w:val="auto"/>
                <w:sz w:val="28"/>
                <w:szCs w:val="28"/>
              </w:rPr>
              <w:t>[70]</w:t>
            </w:r>
          </w:p>
        </w:tc>
      </w:tr>
      <w:tr w:rsidR="00A94B33" w:rsidRPr="00077125" w:rsidTr="00077125">
        <w:tc>
          <w:tcPr>
            <w:tcW w:w="2694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rPr>
                <w:color w:val="auto"/>
                <w:sz w:val="28"/>
                <w:szCs w:val="28"/>
                <w:lang w:val="en-US"/>
              </w:rPr>
            </w:pPr>
            <w:r w:rsidRPr="00077125">
              <w:rPr>
                <w:color w:val="auto"/>
                <w:sz w:val="28"/>
                <w:szCs w:val="28"/>
                <w:lang w:val="en-US"/>
              </w:rPr>
              <w:t xml:space="preserve">C-C motif chemokine 5 (CCL5, </w:t>
            </w:r>
            <w:r w:rsidRPr="00077125">
              <w:rPr>
                <w:bCs/>
                <w:color w:val="auto"/>
                <w:sz w:val="28"/>
                <w:szCs w:val="28"/>
                <w:lang w:val="en-US"/>
              </w:rPr>
              <w:t>RANTES</w:t>
            </w:r>
            <w:r w:rsidRPr="00077125">
              <w:rPr>
                <w:color w:val="auto"/>
                <w:sz w:val="28"/>
                <w:szCs w:val="28"/>
                <w:lang w:val="en-US"/>
              </w:rPr>
              <w:t xml:space="preserve">) </w:t>
            </w:r>
            <w:r w:rsidRPr="00077125">
              <w:rPr>
                <w:noProof/>
                <w:color w:val="auto"/>
                <w:sz w:val="28"/>
                <w:szCs w:val="28"/>
                <w:lang w:val="en-US"/>
              </w:rPr>
              <w:t>[79]</w:t>
            </w:r>
          </w:p>
        </w:tc>
        <w:tc>
          <w:tcPr>
            <w:tcW w:w="4961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rPr>
                <w:color w:val="auto"/>
                <w:sz w:val="28"/>
                <w:szCs w:val="28"/>
                <w:lang w:val="en-US"/>
              </w:rPr>
            </w:pPr>
            <w:r w:rsidRPr="00077125">
              <w:rPr>
                <w:color w:val="auto"/>
                <w:sz w:val="28"/>
                <w:szCs w:val="28"/>
                <w:lang w:val="en-US"/>
              </w:rPr>
              <w:t>chemokine</w:t>
            </w:r>
            <w:r w:rsidRPr="00077125">
              <w:rPr>
                <w:color w:val="auto"/>
                <w:sz w:val="28"/>
                <w:szCs w:val="28"/>
              </w:rPr>
              <w:t xml:space="preserve">, </w:t>
            </w:r>
            <w:r w:rsidRPr="00077125">
              <w:rPr>
                <w:color w:val="auto"/>
                <w:sz w:val="28"/>
                <w:szCs w:val="28"/>
                <w:lang w:val="en-US"/>
              </w:rPr>
              <w:t xml:space="preserve">inflammatory mediator </w:t>
            </w:r>
            <w:r w:rsidRPr="00077125">
              <w:rPr>
                <w:noProof/>
                <w:color w:val="auto"/>
                <w:sz w:val="28"/>
                <w:szCs w:val="28"/>
              </w:rPr>
              <w:t>[43, 69]</w:t>
            </w:r>
          </w:p>
        </w:tc>
        <w:tc>
          <w:tcPr>
            <w:tcW w:w="1701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jc w:val="both"/>
              <w:rPr>
                <w:color w:val="auto"/>
                <w:sz w:val="28"/>
                <w:szCs w:val="28"/>
                <w:lang w:val="en-US"/>
              </w:rPr>
            </w:pPr>
            <w:r w:rsidRPr="00077125">
              <w:rPr>
                <w:noProof/>
                <w:color w:val="auto"/>
                <w:sz w:val="28"/>
                <w:szCs w:val="28"/>
                <w:lang w:val="en-US"/>
              </w:rPr>
              <w:t>[39]</w:t>
            </w:r>
          </w:p>
        </w:tc>
      </w:tr>
      <w:tr w:rsidR="00A94B33" w:rsidRPr="00077125" w:rsidTr="00077125">
        <w:tc>
          <w:tcPr>
            <w:tcW w:w="2694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rPr>
                <w:color w:val="auto"/>
                <w:sz w:val="28"/>
                <w:szCs w:val="28"/>
                <w:lang w:val="en-US"/>
              </w:rPr>
            </w:pPr>
            <w:r w:rsidRPr="00077125">
              <w:rPr>
                <w:color w:val="auto"/>
                <w:sz w:val="28"/>
                <w:szCs w:val="28"/>
                <w:lang w:val="en-US"/>
              </w:rPr>
              <w:t>C-X-C motif chemokine 10 (</w:t>
            </w:r>
            <w:r w:rsidRPr="00077125">
              <w:rPr>
                <w:bCs/>
                <w:color w:val="auto"/>
                <w:sz w:val="28"/>
                <w:szCs w:val="28"/>
                <w:lang w:val="en-US"/>
              </w:rPr>
              <w:t>CXCL10, IP-10</w:t>
            </w:r>
            <w:r w:rsidRPr="00077125">
              <w:rPr>
                <w:color w:val="auto"/>
                <w:sz w:val="28"/>
                <w:szCs w:val="28"/>
                <w:lang w:val="en-US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rPr>
                <w:color w:val="auto"/>
                <w:sz w:val="28"/>
                <w:szCs w:val="28"/>
                <w:lang w:val="en-US"/>
              </w:rPr>
            </w:pPr>
            <w:r w:rsidRPr="00077125">
              <w:rPr>
                <w:color w:val="auto"/>
                <w:sz w:val="28"/>
                <w:szCs w:val="28"/>
                <w:lang w:val="en-US"/>
              </w:rPr>
              <w:t xml:space="preserve">chemokine, inflammatory mediator control of cell migration </w:t>
            </w:r>
            <w:r w:rsidRPr="00077125">
              <w:rPr>
                <w:noProof/>
                <w:color w:val="auto"/>
                <w:sz w:val="28"/>
                <w:szCs w:val="28"/>
                <w:lang w:val="en-US"/>
              </w:rPr>
              <w:t>[48]</w:t>
            </w:r>
          </w:p>
        </w:tc>
        <w:tc>
          <w:tcPr>
            <w:tcW w:w="1701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jc w:val="both"/>
              <w:rPr>
                <w:color w:val="auto"/>
                <w:sz w:val="28"/>
                <w:szCs w:val="28"/>
              </w:rPr>
            </w:pPr>
            <w:r w:rsidRPr="00077125">
              <w:rPr>
                <w:color w:val="auto"/>
                <w:sz w:val="28"/>
                <w:szCs w:val="28"/>
                <w:lang w:val="en-US"/>
              </w:rPr>
              <w:t>N/A</w:t>
            </w:r>
          </w:p>
        </w:tc>
      </w:tr>
      <w:tr w:rsidR="00A94B33" w:rsidRPr="00077125" w:rsidTr="00077125">
        <w:tc>
          <w:tcPr>
            <w:tcW w:w="2694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rPr>
                <w:color w:val="auto"/>
                <w:sz w:val="28"/>
                <w:szCs w:val="28"/>
                <w:lang w:val="en-US"/>
              </w:rPr>
            </w:pPr>
            <w:r w:rsidRPr="00077125">
              <w:rPr>
                <w:color w:val="auto"/>
                <w:sz w:val="28"/>
                <w:szCs w:val="28"/>
                <w:lang w:val="en-US"/>
              </w:rPr>
              <w:t>C-X-C motif chemokine 11 (</w:t>
            </w:r>
            <w:r w:rsidRPr="00077125">
              <w:rPr>
                <w:bCs/>
                <w:color w:val="auto"/>
                <w:sz w:val="28"/>
                <w:szCs w:val="28"/>
                <w:lang w:val="en-US"/>
              </w:rPr>
              <w:t>CXCL11</w:t>
            </w:r>
            <w:r w:rsidRPr="00077125">
              <w:rPr>
                <w:color w:val="auto"/>
                <w:sz w:val="28"/>
                <w:szCs w:val="28"/>
                <w:lang w:val="en-US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rPr>
                <w:color w:val="auto"/>
                <w:sz w:val="28"/>
                <w:szCs w:val="28"/>
                <w:lang w:val="en-US"/>
              </w:rPr>
            </w:pPr>
            <w:r w:rsidRPr="00077125">
              <w:rPr>
                <w:color w:val="auto"/>
                <w:sz w:val="28"/>
                <w:szCs w:val="28"/>
                <w:lang w:val="en-US"/>
              </w:rPr>
              <w:t xml:space="preserve">chemokine, inflammatory mediator, control of cell migration </w:t>
            </w:r>
            <w:r w:rsidRPr="00077125">
              <w:rPr>
                <w:noProof/>
                <w:color w:val="auto"/>
                <w:sz w:val="28"/>
                <w:szCs w:val="28"/>
                <w:lang w:val="en-US"/>
              </w:rPr>
              <w:t>[62]</w:t>
            </w:r>
          </w:p>
        </w:tc>
        <w:tc>
          <w:tcPr>
            <w:tcW w:w="1701" w:type="dxa"/>
            <w:shd w:val="clear" w:color="auto" w:fill="auto"/>
          </w:tcPr>
          <w:p w:rsidR="00A94B33" w:rsidRPr="00077125" w:rsidRDefault="00A94B33" w:rsidP="00077125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077125">
              <w:rPr>
                <w:rFonts w:ascii="Times New Roman" w:hAnsi="Times New Roman"/>
                <w:sz w:val="28"/>
                <w:szCs w:val="28"/>
                <w:lang w:val="en-US"/>
              </w:rPr>
              <w:t>N/A</w:t>
            </w:r>
          </w:p>
        </w:tc>
      </w:tr>
      <w:tr w:rsidR="00A94B33" w:rsidRPr="00077125" w:rsidTr="00077125">
        <w:tc>
          <w:tcPr>
            <w:tcW w:w="2694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rPr>
                <w:color w:val="auto"/>
                <w:sz w:val="28"/>
                <w:szCs w:val="28"/>
                <w:lang w:val="en-US"/>
              </w:rPr>
            </w:pPr>
            <w:r w:rsidRPr="00077125">
              <w:rPr>
                <w:color w:val="auto"/>
                <w:sz w:val="28"/>
                <w:szCs w:val="28"/>
                <w:lang w:val="en-US"/>
              </w:rPr>
              <w:t xml:space="preserve">Interferon </w:t>
            </w:r>
            <w:r w:rsidRPr="00077125">
              <w:rPr>
                <w:color w:val="auto"/>
                <w:sz w:val="28"/>
                <w:szCs w:val="28"/>
              </w:rPr>
              <w:t>β</w:t>
            </w:r>
          </w:p>
        </w:tc>
        <w:tc>
          <w:tcPr>
            <w:tcW w:w="4961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rPr>
                <w:color w:val="auto"/>
                <w:sz w:val="28"/>
                <w:szCs w:val="28"/>
              </w:rPr>
            </w:pPr>
            <w:r w:rsidRPr="00077125">
              <w:rPr>
                <w:color w:val="auto"/>
                <w:sz w:val="28"/>
                <w:szCs w:val="28"/>
                <w:lang w:val="en-US"/>
              </w:rPr>
              <w:t xml:space="preserve">cell activation </w:t>
            </w:r>
            <w:r w:rsidRPr="00077125">
              <w:rPr>
                <w:noProof/>
                <w:color w:val="auto"/>
                <w:sz w:val="28"/>
                <w:szCs w:val="28"/>
              </w:rPr>
              <w:t>[56]</w:t>
            </w:r>
          </w:p>
        </w:tc>
        <w:tc>
          <w:tcPr>
            <w:tcW w:w="1701" w:type="dxa"/>
            <w:shd w:val="clear" w:color="auto" w:fill="auto"/>
          </w:tcPr>
          <w:p w:rsidR="00A94B33" w:rsidRPr="00077125" w:rsidRDefault="00A94B33" w:rsidP="00077125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077125">
              <w:rPr>
                <w:rFonts w:ascii="Times New Roman" w:hAnsi="Times New Roman"/>
                <w:sz w:val="28"/>
                <w:szCs w:val="28"/>
                <w:lang w:val="en-US"/>
              </w:rPr>
              <w:t>N/A</w:t>
            </w:r>
          </w:p>
        </w:tc>
      </w:tr>
      <w:tr w:rsidR="00A94B33" w:rsidRPr="00077125" w:rsidTr="00077125">
        <w:tc>
          <w:tcPr>
            <w:tcW w:w="2694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rPr>
                <w:color w:val="auto"/>
                <w:sz w:val="28"/>
                <w:szCs w:val="28"/>
                <w:lang w:val="en-US"/>
              </w:rPr>
            </w:pPr>
            <w:r w:rsidRPr="00077125">
              <w:rPr>
                <w:color w:val="auto"/>
                <w:sz w:val="28"/>
                <w:szCs w:val="28"/>
                <w:lang w:val="en-US"/>
              </w:rPr>
              <w:lastRenderedPageBreak/>
              <w:t>Interleukin-7</w:t>
            </w:r>
          </w:p>
        </w:tc>
        <w:tc>
          <w:tcPr>
            <w:tcW w:w="4961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rPr>
                <w:color w:val="auto"/>
                <w:sz w:val="28"/>
                <w:szCs w:val="28"/>
                <w:lang w:val="en-US"/>
              </w:rPr>
            </w:pPr>
            <w:r w:rsidRPr="00077125">
              <w:rPr>
                <w:color w:val="auto"/>
                <w:sz w:val="28"/>
                <w:szCs w:val="28"/>
                <w:lang w:val="en-US"/>
              </w:rPr>
              <w:t xml:space="preserve">enhancing of cell viability </w:t>
            </w:r>
            <w:r w:rsidRPr="00077125">
              <w:rPr>
                <w:noProof/>
                <w:color w:val="auto"/>
                <w:sz w:val="28"/>
                <w:szCs w:val="28"/>
                <w:lang w:val="en-US"/>
              </w:rPr>
              <w:t>[57]</w:t>
            </w:r>
          </w:p>
        </w:tc>
        <w:tc>
          <w:tcPr>
            <w:tcW w:w="1701" w:type="dxa"/>
            <w:shd w:val="clear" w:color="auto" w:fill="auto"/>
          </w:tcPr>
          <w:p w:rsidR="00A94B33" w:rsidRPr="00077125" w:rsidRDefault="00A94B33" w:rsidP="00077125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077125">
              <w:rPr>
                <w:rFonts w:ascii="Times New Roman" w:hAnsi="Times New Roman"/>
                <w:sz w:val="28"/>
                <w:szCs w:val="28"/>
                <w:lang w:val="en-US"/>
              </w:rPr>
              <w:t>N/A</w:t>
            </w:r>
          </w:p>
        </w:tc>
      </w:tr>
      <w:tr w:rsidR="00A94B33" w:rsidRPr="00077125" w:rsidTr="00077125">
        <w:tc>
          <w:tcPr>
            <w:tcW w:w="2694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rPr>
                <w:color w:val="auto"/>
                <w:sz w:val="28"/>
                <w:szCs w:val="28"/>
                <w:lang w:val="en-US"/>
              </w:rPr>
            </w:pPr>
            <w:r w:rsidRPr="00077125">
              <w:rPr>
                <w:color w:val="auto"/>
                <w:sz w:val="28"/>
                <w:szCs w:val="28"/>
                <w:lang w:val="en-US"/>
              </w:rPr>
              <w:t>Interleukin-12</w:t>
            </w:r>
          </w:p>
        </w:tc>
        <w:tc>
          <w:tcPr>
            <w:tcW w:w="4961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rPr>
                <w:color w:val="auto"/>
                <w:sz w:val="28"/>
                <w:szCs w:val="28"/>
                <w:lang w:val="en-US"/>
              </w:rPr>
            </w:pPr>
            <w:r w:rsidRPr="00077125">
              <w:rPr>
                <w:color w:val="auto"/>
                <w:sz w:val="28"/>
                <w:szCs w:val="28"/>
                <w:lang w:val="en-US"/>
              </w:rPr>
              <w:t xml:space="preserve">pro-inflammatory cytokine, cell activation </w:t>
            </w:r>
            <w:r w:rsidRPr="00077125">
              <w:rPr>
                <w:noProof/>
                <w:color w:val="auto"/>
                <w:sz w:val="28"/>
                <w:szCs w:val="28"/>
                <w:lang w:val="en-US"/>
              </w:rPr>
              <w:t>[97, 106]</w:t>
            </w:r>
          </w:p>
        </w:tc>
        <w:tc>
          <w:tcPr>
            <w:tcW w:w="1701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jc w:val="both"/>
              <w:rPr>
                <w:color w:val="auto"/>
                <w:sz w:val="28"/>
                <w:szCs w:val="28"/>
              </w:rPr>
            </w:pPr>
            <w:r w:rsidRPr="00077125">
              <w:rPr>
                <w:noProof/>
                <w:color w:val="auto"/>
                <w:sz w:val="28"/>
                <w:szCs w:val="28"/>
              </w:rPr>
              <w:t>[97]</w:t>
            </w:r>
          </w:p>
        </w:tc>
      </w:tr>
      <w:tr w:rsidR="00A94B33" w:rsidRPr="00077125" w:rsidTr="00077125">
        <w:tc>
          <w:tcPr>
            <w:tcW w:w="2694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rPr>
                <w:color w:val="auto"/>
                <w:sz w:val="28"/>
                <w:szCs w:val="28"/>
                <w:lang w:val="en-US"/>
              </w:rPr>
            </w:pPr>
            <w:r w:rsidRPr="00077125">
              <w:rPr>
                <w:color w:val="auto"/>
                <w:sz w:val="28"/>
                <w:szCs w:val="28"/>
                <w:lang w:val="en-US"/>
              </w:rPr>
              <w:t>Semaphorin-4D isoform 1 (SEMA4D, CD100)</w:t>
            </w:r>
          </w:p>
        </w:tc>
        <w:tc>
          <w:tcPr>
            <w:tcW w:w="4961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rPr>
                <w:color w:val="auto"/>
                <w:sz w:val="28"/>
                <w:szCs w:val="28"/>
                <w:lang w:val="en-US"/>
              </w:rPr>
            </w:pPr>
            <w:r w:rsidRPr="00077125">
              <w:rPr>
                <w:color w:val="auto"/>
                <w:sz w:val="28"/>
                <w:szCs w:val="28"/>
                <w:lang w:val="en-US"/>
              </w:rPr>
              <w:t xml:space="preserve">activated cell surface receptor, mediating of cell cytotoxicity by binding to CD72 on the target cell </w:t>
            </w:r>
            <w:r w:rsidRPr="00077125">
              <w:rPr>
                <w:noProof/>
                <w:color w:val="auto"/>
                <w:sz w:val="28"/>
                <w:szCs w:val="28"/>
                <w:lang w:val="en-US"/>
              </w:rPr>
              <w:t>[60]</w:t>
            </w:r>
          </w:p>
        </w:tc>
        <w:tc>
          <w:tcPr>
            <w:tcW w:w="1701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jc w:val="both"/>
              <w:rPr>
                <w:color w:val="auto"/>
                <w:sz w:val="28"/>
                <w:szCs w:val="28"/>
              </w:rPr>
            </w:pPr>
            <w:r w:rsidRPr="00077125">
              <w:rPr>
                <w:noProof/>
                <w:color w:val="auto"/>
                <w:sz w:val="28"/>
                <w:szCs w:val="28"/>
              </w:rPr>
              <w:t>[60]</w:t>
            </w:r>
          </w:p>
        </w:tc>
      </w:tr>
      <w:tr w:rsidR="00A94B33" w:rsidRPr="00077125" w:rsidTr="00077125">
        <w:tc>
          <w:tcPr>
            <w:tcW w:w="2694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rPr>
                <w:color w:val="auto"/>
                <w:sz w:val="28"/>
                <w:szCs w:val="28"/>
              </w:rPr>
            </w:pPr>
            <w:r w:rsidRPr="00077125">
              <w:rPr>
                <w:color w:val="auto"/>
                <w:sz w:val="28"/>
                <w:szCs w:val="28"/>
                <w:lang w:val="en-US"/>
              </w:rPr>
              <w:t xml:space="preserve">Transforming growth factor </w:t>
            </w:r>
            <w:r w:rsidRPr="00077125">
              <w:rPr>
                <w:color w:val="auto"/>
                <w:sz w:val="28"/>
                <w:szCs w:val="28"/>
              </w:rPr>
              <w:t>β</w:t>
            </w:r>
          </w:p>
        </w:tc>
        <w:tc>
          <w:tcPr>
            <w:tcW w:w="4961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rPr>
                <w:color w:val="auto"/>
                <w:sz w:val="28"/>
                <w:szCs w:val="28"/>
                <w:lang w:val="en-US"/>
              </w:rPr>
            </w:pPr>
            <w:r w:rsidRPr="00077125">
              <w:rPr>
                <w:color w:val="auto"/>
                <w:sz w:val="28"/>
                <w:szCs w:val="28"/>
                <w:lang w:val="en-US"/>
              </w:rPr>
              <w:t xml:space="preserve">control of cell activity, regulation of differentiation </w:t>
            </w:r>
            <w:r w:rsidRPr="00077125">
              <w:rPr>
                <w:noProof/>
                <w:color w:val="auto"/>
                <w:sz w:val="28"/>
                <w:szCs w:val="28"/>
                <w:lang w:val="en-US"/>
              </w:rPr>
              <w:t>[18, 100]</w:t>
            </w:r>
          </w:p>
        </w:tc>
        <w:tc>
          <w:tcPr>
            <w:tcW w:w="1701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jc w:val="both"/>
              <w:rPr>
                <w:color w:val="auto"/>
                <w:sz w:val="28"/>
                <w:szCs w:val="28"/>
                <w:lang w:val="en-US"/>
              </w:rPr>
            </w:pPr>
            <w:r w:rsidRPr="00077125">
              <w:rPr>
                <w:noProof/>
                <w:color w:val="auto"/>
                <w:sz w:val="28"/>
                <w:szCs w:val="28"/>
              </w:rPr>
              <w:t>[104]</w:t>
            </w:r>
          </w:p>
        </w:tc>
      </w:tr>
      <w:tr w:rsidR="00A94B33" w:rsidRPr="00077125" w:rsidTr="00077125">
        <w:tc>
          <w:tcPr>
            <w:tcW w:w="2694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rPr>
                <w:color w:val="auto"/>
                <w:sz w:val="28"/>
                <w:szCs w:val="28"/>
                <w:lang w:val="en-US"/>
              </w:rPr>
            </w:pPr>
            <w:r w:rsidRPr="00077125">
              <w:rPr>
                <w:color w:val="auto"/>
                <w:sz w:val="28"/>
                <w:szCs w:val="28"/>
                <w:lang w:val="en-US"/>
              </w:rPr>
              <w:t xml:space="preserve">Tumor necrosis factor ligand superfamily member 4 (TNFSF4, </w:t>
            </w:r>
            <w:r w:rsidRPr="00077125">
              <w:rPr>
                <w:bCs/>
                <w:color w:val="auto"/>
                <w:sz w:val="28"/>
                <w:szCs w:val="28"/>
                <w:lang w:val="en-US"/>
              </w:rPr>
              <w:t>CD252</w:t>
            </w:r>
            <w:r w:rsidRPr="00077125">
              <w:rPr>
                <w:color w:val="auto"/>
                <w:sz w:val="28"/>
                <w:szCs w:val="28"/>
                <w:lang w:val="en-US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rPr>
                <w:color w:val="auto"/>
                <w:sz w:val="28"/>
                <w:szCs w:val="28"/>
              </w:rPr>
            </w:pPr>
            <w:r w:rsidRPr="00077125">
              <w:rPr>
                <w:color w:val="auto"/>
                <w:sz w:val="28"/>
                <w:szCs w:val="28"/>
                <w:lang w:val="en-US"/>
              </w:rPr>
              <w:t xml:space="preserve">activation of cytotoxicity </w:t>
            </w:r>
            <w:r w:rsidRPr="00077125">
              <w:rPr>
                <w:noProof/>
                <w:color w:val="auto"/>
                <w:sz w:val="28"/>
                <w:szCs w:val="28"/>
              </w:rPr>
              <w:t>[40, 66]</w:t>
            </w:r>
          </w:p>
        </w:tc>
        <w:tc>
          <w:tcPr>
            <w:tcW w:w="1701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jc w:val="both"/>
              <w:rPr>
                <w:color w:val="auto"/>
                <w:sz w:val="28"/>
                <w:szCs w:val="28"/>
                <w:lang w:val="en-US"/>
              </w:rPr>
            </w:pPr>
            <w:r w:rsidRPr="00077125">
              <w:rPr>
                <w:noProof/>
                <w:color w:val="auto"/>
                <w:sz w:val="28"/>
                <w:szCs w:val="28"/>
              </w:rPr>
              <w:t>[40, 66]</w:t>
            </w:r>
          </w:p>
        </w:tc>
      </w:tr>
      <w:tr w:rsidR="00A94B33" w:rsidRPr="00077125" w:rsidTr="00077125">
        <w:tc>
          <w:tcPr>
            <w:tcW w:w="2694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rPr>
                <w:color w:val="auto"/>
                <w:sz w:val="28"/>
                <w:szCs w:val="28"/>
              </w:rPr>
            </w:pPr>
            <w:r w:rsidRPr="00077125">
              <w:rPr>
                <w:color w:val="auto"/>
                <w:sz w:val="28"/>
                <w:szCs w:val="28"/>
                <w:lang w:val="en-US"/>
              </w:rPr>
              <w:t>Serpin B5 isoform 1</w:t>
            </w:r>
            <w:r w:rsidRPr="00077125">
              <w:rPr>
                <w:color w:val="auto"/>
                <w:sz w:val="28"/>
                <w:szCs w:val="28"/>
              </w:rPr>
              <w:t xml:space="preserve"> (</w:t>
            </w:r>
            <w:r w:rsidRPr="00077125">
              <w:rPr>
                <w:color w:val="auto"/>
                <w:sz w:val="28"/>
                <w:szCs w:val="28"/>
                <w:lang w:val="en-US"/>
              </w:rPr>
              <w:t>SERPINB5</w:t>
            </w:r>
            <w:r w:rsidRPr="00077125"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rPr>
                <w:color w:val="auto"/>
                <w:sz w:val="28"/>
                <w:szCs w:val="28"/>
                <w:lang w:val="en-US"/>
              </w:rPr>
            </w:pPr>
            <w:r w:rsidRPr="00077125">
              <w:rPr>
                <w:color w:val="auto"/>
                <w:sz w:val="28"/>
                <w:szCs w:val="28"/>
                <w:lang w:val="en-US"/>
              </w:rPr>
              <w:t>regulation of cell adhesion and apoptosis;</w:t>
            </w:r>
            <w:r w:rsidRPr="00077125">
              <w:rPr>
                <w:color w:val="FF0000"/>
                <w:sz w:val="28"/>
                <w:szCs w:val="28"/>
                <w:lang w:val="en-US"/>
              </w:rPr>
              <w:t xml:space="preserve"> </w:t>
            </w:r>
            <w:r w:rsidRPr="00077125">
              <w:rPr>
                <w:color w:val="auto"/>
                <w:sz w:val="28"/>
                <w:szCs w:val="28"/>
                <w:lang w:val="en-US"/>
              </w:rPr>
              <w:t xml:space="preserve">inhibition of cell invasion, migration, and angiogenesis </w:t>
            </w:r>
            <w:r w:rsidRPr="00077125">
              <w:rPr>
                <w:noProof/>
                <w:color w:val="auto"/>
                <w:sz w:val="28"/>
                <w:szCs w:val="28"/>
                <w:lang w:val="en-US"/>
              </w:rPr>
              <w:t>[24]</w:t>
            </w:r>
          </w:p>
        </w:tc>
        <w:tc>
          <w:tcPr>
            <w:tcW w:w="1701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ind w:hanging="7"/>
              <w:jc w:val="both"/>
              <w:rPr>
                <w:color w:val="auto"/>
                <w:sz w:val="28"/>
                <w:szCs w:val="28"/>
              </w:rPr>
            </w:pPr>
            <w:r w:rsidRPr="00077125">
              <w:rPr>
                <w:color w:val="auto"/>
                <w:sz w:val="28"/>
                <w:szCs w:val="28"/>
                <w:lang w:val="en-US"/>
              </w:rPr>
              <w:t>N/A</w:t>
            </w:r>
          </w:p>
        </w:tc>
      </w:tr>
      <w:tr w:rsidR="00A94B33" w:rsidRPr="00077125" w:rsidTr="00077125">
        <w:tc>
          <w:tcPr>
            <w:tcW w:w="2694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rPr>
                <w:color w:val="auto"/>
                <w:sz w:val="28"/>
                <w:szCs w:val="28"/>
                <w:lang w:val="en-US"/>
              </w:rPr>
            </w:pPr>
            <w:r w:rsidRPr="00077125">
              <w:rPr>
                <w:color w:val="auto"/>
                <w:sz w:val="28"/>
                <w:szCs w:val="28"/>
                <w:lang w:val="en-US"/>
              </w:rPr>
              <w:t>Granzyme A</w:t>
            </w:r>
          </w:p>
        </w:tc>
        <w:tc>
          <w:tcPr>
            <w:tcW w:w="4961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rPr>
                <w:color w:val="auto"/>
                <w:sz w:val="28"/>
                <w:szCs w:val="28"/>
              </w:rPr>
            </w:pPr>
            <w:r w:rsidRPr="00077125">
              <w:rPr>
                <w:color w:val="auto"/>
                <w:sz w:val="28"/>
                <w:szCs w:val="28"/>
                <w:lang w:val="en-US"/>
              </w:rPr>
              <w:t xml:space="preserve">triggering of apoptosis </w:t>
            </w:r>
            <w:r w:rsidRPr="00077125">
              <w:rPr>
                <w:noProof/>
                <w:color w:val="auto"/>
                <w:sz w:val="28"/>
                <w:szCs w:val="28"/>
              </w:rPr>
              <w:t>[42]</w:t>
            </w:r>
          </w:p>
        </w:tc>
        <w:tc>
          <w:tcPr>
            <w:tcW w:w="1701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ind w:hanging="7"/>
              <w:jc w:val="both"/>
              <w:rPr>
                <w:color w:val="auto"/>
                <w:sz w:val="28"/>
                <w:szCs w:val="28"/>
              </w:rPr>
            </w:pPr>
            <w:r w:rsidRPr="00077125">
              <w:rPr>
                <w:noProof/>
                <w:color w:val="auto"/>
                <w:sz w:val="28"/>
                <w:szCs w:val="28"/>
              </w:rPr>
              <w:t>[28]</w:t>
            </w:r>
          </w:p>
        </w:tc>
      </w:tr>
      <w:tr w:rsidR="00A94B33" w:rsidRPr="004D215C" w:rsidTr="00077125">
        <w:tc>
          <w:tcPr>
            <w:tcW w:w="2694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rPr>
                <w:color w:val="auto"/>
                <w:sz w:val="28"/>
                <w:szCs w:val="28"/>
                <w:lang w:val="en-US"/>
              </w:rPr>
            </w:pPr>
            <w:r w:rsidRPr="00077125">
              <w:rPr>
                <w:color w:val="auto"/>
                <w:sz w:val="28"/>
                <w:szCs w:val="28"/>
                <w:lang w:val="en-US"/>
              </w:rPr>
              <w:t>Galectin</w:t>
            </w:r>
            <w:r w:rsidRPr="00077125">
              <w:rPr>
                <w:color w:val="auto"/>
                <w:sz w:val="28"/>
                <w:szCs w:val="28"/>
              </w:rPr>
              <w:t>-3</w:t>
            </w:r>
          </w:p>
        </w:tc>
        <w:tc>
          <w:tcPr>
            <w:tcW w:w="4961" w:type="dxa"/>
            <w:shd w:val="clear" w:color="auto" w:fill="auto"/>
          </w:tcPr>
          <w:p w:rsidR="00A94B33" w:rsidRPr="00077125" w:rsidRDefault="00A94B33" w:rsidP="00077125">
            <w:pPr>
              <w:pStyle w:val="Default"/>
              <w:spacing w:line="480" w:lineRule="auto"/>
              <w:rPr>
                <w:color w:val="auto"/>
                <w:sz w:val="28"/>
                <w:szCs w:val="28"/>
                <w:lang w:val="en-US"/>
              </w:rPr>
            </w:pPr>
            <w:r w:rsidRPr="00077125">
              <w:rPr>
                <w:color w:val="auto"/>
                <w:sz w:val="28"/>
                <w:szCs w:val="28"/>
                <w:lang w:val="en-US"/>
              </w:rPr>
              <w:t xml:space="preserve">enhancing of cell viability and proliferation, suppression of cell cytotoxicity </w:t>
            </w:r>
            <w:r w:rsidRPr="00077125">
              <w:rPr>
                <w:noProof/>
                <w:color w:val="auto"/>
                <w:sz w:val="28"/>
                <w:szCs w:val="28"/>
                <w:lang w:val="en-US"/>
              </w:rPr>
              <w:t>[99]</w:t>
            </w:r>
          </w:p>
        </w:tc>
        <w:tc>
          <w:tcPr>
            <w:tcW w:w="1701" w:type="dxa"/>
            <w:shd w:val="clear" w:color="auto" w:fill="auto"/>
          </w:tcPr>
          <w:p w:rsidR="00A94B33" w:rsidRPr="004D215C" w:rsidRDefault="00A94B33" w:rsidP="00077125">
            <w:pPr>
              <w:pStyle w:val="Default"/>
              <w:spacing w:line="480" w:lineRule="auto"/>
              <w:ind w:hanging="7"/>
              <w:jc w:val="both"/>
              <w:rPr>
                <w:color w:val="auto"/>
                <w:sz w:val="28"/>
                <w:szCs w:val="28"/>
              </w:rPr>
            </w:pPr>
            <w:r w:rsidRPr="00077125">
              <w:rPr>
                <w:noProof/>
                <w:color w:val="auto"/>
                <w:sz w:val="28"/>
                <w:szCs w:val="28"/>
              </w:rPr>
              <w:t>[5]</w:t>
            </w:r>
          </w:p>
        </w:tc>
      </w:tr>
    </w:tbl>
    <w:p w:rsidR="00216152" w:rsidRDefault="00571ED0" w:rsidP="00077125">
      <w:pPr>
        <w:spacing w:line="480" w:lineRule="auto"/>
      </w:pPr>
    </w:p>
    <w:sectPr w:rsidR="0021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33"/>
    <w:rsid w:val="00077125"/>
    <w:rsid w:val="00571ED0"/>
    <w:rsid w:val="005B3DD7"/>
    <w:rsid w:val="008C06D3"/>
    <w:rsid w:val="00A94B33"/>
    <w:rsid w:val="00AB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B5121-7096-4CE7-8C24-438A30EA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B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4B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Emphasis"/>
    <w:uiPriority w:val="20"/>
    <w:qFormat/>
    <w:rsid w:val="00A94B33"/>
    <w:rPr>
      <w:i/>
      <w:iCs/>
    </w:rPr>
  </w:style>
  <w:style w:type="character" w:customStyle="1" w:styleId="st">
    <w:name w:val="st"/>
    <w:rsid w:val="00A94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450</Words>
  <Characters>2746</Characters>
  <Application>Microsoft Office Word</Application>
  <DocSecurity>0</DocSecurity>
  <Lines>50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Кореневский</dc:creator>
  <cp:keywords/>
  <dc:description/>
  <cp:lastModifiedBy>Кореневский</cp:lastModifiedBy>
  <cp:revision>4</cp:revision>
  <dcterms:created xsi:type="dcterms:W3CDTF">2020-03-02T12:08:00Z</dcterms:created>
  <dcterms:modified xsi:type="dcterms:W3CDTF">2020-03-04T13:38:00Z</dcterms:modified>
</cp:coreProperties>
</file>