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33" w:rsidRPr="00077125" w:rsidRDefault="00A94B33" w:rsidP="00077125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val="en-US" w:eastAsia="ru-RU"/>
        </w:rPr>
      </w:pPr>
      <w:r w:rsidRPr="00077125">
        <w:rPr>
          <w:rFonts w:eastAsia="Times New Roman"/>
          <w:b/>
          <w:color w:val="auto"/>
          <w:sz w:val="28"/>
          <w:szCs w:val="28"/>
          <w:lang w:val="en-US" w:eastAsia="ru-RU"/>
        </w:rPr>
        <w:t>T</w:t>
      </w:r>
      <w:r w:rsidR="00077125">
        <w:rPr>
          <w:rFonts w:eastAsia="Times New Roman"/>
          <w:b/>
          <w:color w:val="auto"/>
          <w:sz w:val="28"/>
          <w:szCs w:val="28"/>
          <w:lang w:val="en-US" w:eastAsia="ru-RU"/>
        </w:rPr>
        <w:t xml:space="preserve">ABLE </w:t>
      </w:r>
      <w:r w:rsidRPr="00077125">
        <w:rPr>
          <w:rFonts w:eastAsia="Times New Roman"/>
          <w:b/>
          <w:color w:val="auto"/>
          <w:sz w:val="28"/>
          <w:szCs w:val="28"/>
          <w:lang w:val="en-US" w:eastAsia="ru-RU"/>
        </w:rPr>
        <w:t>1</w:t>
      </w:r>
      <w:r w:rsidRPr="00077125">
        <w:rPr>
          <w:rFonts w:eastAsia="Times New Roman"/>
          <w:b/>
          <w:i/>
          <w:color w:val="auto"/>
          <w:sz w:val="28"/>
          <w:szCs w:val="28"/>
          <w:lang w:val="en-US" w:eastAsia="ru-RU"/>
        </w:rPr>
        <w:t>.</w:t>
      </w:r>
      <w:r w:rsidRPr="00077125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 S</w:t>
      </w:r>
      <w:r w:rsidR="00077125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OME FUNCTIONS OF PROTEINS OF THE MICROVESICLES PRODUCED BY </w:t>
      </w:r>
      <w:r w:rsidR="00571ED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THE </w:t>
      </w:r>
      <w:r w:rsidRPr="00077125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NK-92 </w:t>
      </w:r>
      <w:r w:rsidR="00571ED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>NATURAL KILLER CELL LINE</w:t>
      </w:r>
      <w:bookmarkStart w:id="0" w:name="_GoBack"/>
      <w:bookmarkEnd w:id="0"/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961"/>
        <w:gridCol w:w="1701"/>
      </w:tblGrid>
      <w:tr w:rsidR="00A94B33" w:rsidRPr="00571ED0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ind w:left="-221" w:firstLine="221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Protein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Function / References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Presence in NK cells / References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CCR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CCL2 (MCP-1) 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receptor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[45]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, control of cell migration </w:t>
            </w: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[16, 92]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</w:pP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t>[22, 74, 92]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077125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CCR</w:t>
            </w:r>
            <w:r w:rsidRPr="00077125">
              <w:rPr>
                <w:bCs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0771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CCL5, CCL7, CCL11, CCL13, CCL15, CCL24, CCL26, and CCL28 receptor </w:t>
            </w:r>
            <w:r w:rsidRPr="000771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[72]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 w:rsidRPr="00077125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CCR7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8C06D3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CCL19 and CCL21 receptor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[102]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, 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control of </w:t>
            </w:r>
            <w:r w:rsidR="008C06D3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cell </w:t>
            </w: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migration into the lymph node </w:t>
            </w: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[73]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[17, 41, 73]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Interleukin-15 receptor</w:t>
            </w:r>
            <w:r w:rsidRPr="00077125">
              <w:rPr>
                <w:color w:val="auto"/>
                <w:sz w:val="28"/>
                <w:szCs w:val="28"/>
              </w:rPr>
              <w:t xml:space="preserve"> (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IL15RA</w:t>
            </w:r>
            <w:r w:rsidRPr="00077125">
              <w:rPr>
                <w:color w:val="auto"/>
                <w:sz w:val="28"/>
                <w:szCs w:val="28"/>
              </w:rPr>
              <w:t xml:space="preserve">, </w:t>
            </w:r>
            <w:r w:rsidRPr="00077125">
              <w:rPr>
                <w:bCs/>
                <w:color w:val="auto"/>
                <w:sz w:val="28"/>
                <w:szCs w:val="28"/>
              </w:rPr>
              <w:t>CD215</w:t>
            </w:r>
            <w:r w:rsidRPr="0007712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IL-15 receptor, regulation of cell activity and proliferation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[9]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[7, 55]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Integrin α6 (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>CD49f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integrin receptor, </w:t>
            </w:r>
            <w:r w:rsidRPr="00077125">
              <w:rPr>
                <w:rStyle w:val="st"/>
                <w:color w:val="auto"/>
                <w:sz w:val="28"/>
                <w:szCs w:val="28"/>
                <w:lang w:val="en-US"/>
              </w:rPr>
              <w:t xml:space="preserve">integrin-mediated cell </w:t>
            </w:r>
            <w:r w:rsidRPr="00077125">
              <w:rPr>
                <w:rStyle w:val="a3"/>
                <w:i w:val="0"/>
                <w:color w:val="auto"/>
                <w:sz w:val="28"/>
                <w:szCs w:val="28"/>
                <w:lang w:val="en-US"/>
              </w:rPr>
              <w:t>adhesion to extracellular matrix components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 (laminin, collagen, and fibronectin)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[37]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[26]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Low affinity immunoglobulin gamma Fc region </w:t>
            </w:r>
            <w:r w:rsidRPr="00077125">
              <w:rPr>
                <w:color w:val="auto"/>
                <w:sz w:val="28"/>
                <w:szCs w:val="28"/>
                <w:lang w:val="en-US"/>
              </w:rPr>
              <w:lastRenderedPageBreak/>
              <w:t>receptor III-A (Fc-gamma RIIIα,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 xml:space="preserve"> CD16a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lastRenderedPageBreak/>
              <w:t xml:space="preserve">IgG receptor, antibody-dependent cell cytotoxicity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[68]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[4, 68]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Prostaglandin E2 receptor EP4 subtype (EP4</w:t>
            </w:r>
            <w:r w:rsidRPr="00077125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077125">
              <w:rPr>
                <w:bCs/>
                <w:noProof/>
                <w:color w:val="auto"/>
                <w:sz w:val="28"/>
                <w:szCs w:val="28"/>
                <w:shd w:val="clear" w:color="auto" w:fill="FFFFFF"/>
                <w:lang w:val="en-US"/>
              </w:rPr>
              <w:t>[63]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PGE2 receptor, inhibition of cell cytotoxicity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[51, 71]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[25]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Signaling lymphocytic activation molecule (</w:t>
            </w:r>
            <w:r w:rsidRPr="00077125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SLAMF1, </w:t>
            </w:r>
            <w:r w:rsidRPr="00077125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CD150</w:t>
            </w:r>
            <w:r w:rsidRPr="00077125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receptor found on NKT cells, differentiation, bacterial antigen binding </w:t>
            </w: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[91]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Thyroid hormone receptor α1 (THRA)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T3 receptor, enhancing of cell cytotoxicity and response to IFN</w:t>
            </w:r>
            <w:r w:rsidRPr="00077125">
              <w:rPr>
                <w:color w:val="auto"/>
                <w:sz w:val="28"/>
                <w:szCs w:val="28"/>
              </w:rPr>
              <w:t>γ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[61]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[94]</w:t>
            </w:r>
          </w:p>
        </w:tc>
      </w:tr>
      <w:tr w:rsidR="00A94B33" w:rsidRPr="00571ED0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Triiodothyronine receptor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same as Thyroid hormone receptor alpha 1 (THRA; according to https://www.uniprot.org)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Dual specificity mitogen-activated protein kinase </w:t>
            </w:r>
            <w:proofErr w:type="spellStart"/>
            <w:r w:rsidRPr="00077125">
              <w:rPr>
                <w:color w:val="auto"/>
                <w:sz w:val="28"/>
                <w:szCs w:val="28"/>
                <w:lang w:val="en-US"/>
              </w:rPr>
              <w:t>kinase</w:t>
            </w:r>
            <w:proofErr w:type="spellEnd"/>
            <w:r w:rsidRPr="00077125">
              <w:rPr>
                <w:color w:val="auto"/>
                <w:sz w:val="28"/>
                <w:szCs w:val="28"/>
                <w:lang w:val="en-US"/>
              </w:rPr>
              <w:t xml:space="preserve"> 6 (MAP2K6)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intracellular signaling (the mitogen-activated protein kinase (MAPK)/ERK-signaling pathway), control of viability, control of activating receptor expression, inhibition of activated cell proliferation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[54]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[54]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lastRenderedPageBreak/>
              <w:t xml:space="preserve">Rho family </w:t>
            </w:r>
            <w:proofErr w:type="spellStart"/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GTPase</w:t>
            </w:r>
            <w:proofErr w:type="spellEnd"/>
            <w:r w:rsidRPr="00077125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 3 isoform CRA (</w:t>
            </w:r>
            <w:r w:rsidRPr="00077125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RND3)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intracellular signaling, control of cytoskeletal rearrangement, control of interactions of actin filaments and microtubules in cell cytotoxicity implementation process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[53]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</w:pPr>
            <w:r w:rsidRPr="00077125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t>[53]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Tyrosine-protein kinase ITK/TSK (ITK)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intracellular signaling, cell cytotoxicity control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[31]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[31, 103]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Tyrosine-protein kinase Lyn isoform 1 (LYN)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intracellular signaling, signaling via CD94 and NKR-P1, control of cell cytotoxicity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[70]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[70]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C-C motif chemokine 5 (CCL5, 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>RANTES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)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[79]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chemokine</w:t>
            </w:r>
            <w:r w:rsidRPr="00077125">
              <w:rPr>
                <w:color w:val="auto"/>
                <w:sz w:val="28"/>
                <w:szCs w:val="28"/>
              </w:rPr>
              <w:t xml:space="preserve">, 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inflammatory mediator </w:t>
            </w:r>
            <w:r w:rsidRPr="00077125">
              <w:rPr>
                <w:noProof/>
                <w:color w:val="auto"/>
                <w:sz w:val="28"/>
                <w:szCs w:val="28"/>
              </w:rPr>
              <w:t>[43, 69]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[39]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C-X-C motif chemokine 10 (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>CXCL10, IP-10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chemokine, inflammatory mediator control of cell migration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[48]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C-X-C motif chemokine 11 (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>CXCL11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chemokine, inflammatory mediator, control of cell migration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[62]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077125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Interferon </w:t>
            </w:r>
            <w:r w:rsidRPr="00077125">
              <w:rPr>
                <w:color w:val="auto"/>
                <w:sz w:val="28"/>
                <w:szCs w:val="28"/>
              </w:rPr>
              <w:t>β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cell activation </w:t>
            </w:r>
            <w:r w:rsidRPr="00077125">
              <w:rPr>
                <w:noProof/>
                <w:color w:val="auto"/>
                <w:sz w:val="28"/>
                <w:szCs w:val="28"/>
              </w:rPr>
              <w:t>[56]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077125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lastRenderedPageBreak/>
              <w:t>Interleukin-7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enhancing of cell viability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[57]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077125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Interleukin-12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pro-inflammatory cytokine, cell activation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[97, 106]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[97]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Semaphorin-4D isoform 1 (SEMA4D, CD100)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activated cell surface receptor, mediating of cell cytotoxicity by binding to CD72 on the target cell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[60]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[60]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Transforming growth factor </w:t>
            </w:r>
            <w:r w:rsidRPr="00077125">
              <w:rPr>
                <w:color w:val="auto"/>
                <w:sz w:val="28"/>
                <w:szCs w:val="28"/>
              </w:rPr>
              <w:t>β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control of cell activity, regulation of differentiation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[18, 100]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[104]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Tumor necrosis factor ligand superfamily member 4 (TNFSF4, </w:t>
            </w:r>
            <w:r w:rsidRPr="00077125">
              <w:rPr>
                <w:bCs/>
                <w:color w:val="auto"/>
                <w:sz w:val="28"/>
                <w:szCs w:val="28"/>
                <w:lang w:val="en-US"/>
              </w:rPr>
              <w:t>CD252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activation of cytotoxicity </w:t>
            </w:r>
            <w:r w:rsidRPr="00077125">
              <w:rPr>
                <w:noProof/>
                <w:color w:val="auto"/>
                <w:sz w:val="28"/>
                <w:szCs w:val="28"/>
              </w:rPr>
              <w:t>[40, 66]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[40, 66]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Serpin B5 isoform 1</w:t>
            </w:r>
            <w:r w:rsidRPr="00077125">
              <w:rPr>
                <w:color w:val="auto"/>
                <w:sz w:val="28"/>
                <w:szCs w:val="28"/>
              </w:rPr>
              <w:t xml:space="preserve"> (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>SERPINB5</w:t>
            </w:r>
            <w:r w:rsidRPr="0007712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regulation of cell adhesion and apoptosis;</w:t>
            </w:r>
            <w:r w:rsidRPr="00077125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077125">
              <w:rPr>
                <w:color w:val="auto"/>
                <w:sz w:val="28"/>
                <w:szCs w:val="28"/>
                <w:lang w:val="en-US"/>
              </w:rPr>
              <w:t xml:space="preserve">inhibition of cell invasion, migration, and angiogenesis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[24]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N/A</w:t>
            </w:r>
          </w:p>
        </w:tc>
      </w:tr>
      <w:tr w:rsidR="00A94B33" w:rsidRPr="00077125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Granzyme A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triggering of apoptosis </w:t>
            </w:r>
            <w:r w:rsidRPr="00077125">
              <w:rPr>
                <w:noProof/>
                <w:color w:val="auto"/>
                <w:sz w:val="28"/>
                <w:szCs w:val="28"/>
              </w:rPr>
              <w:t>[42]</w:t>
            </w:r>
          </w:p>
        </w:tc>
        <w:tc>
          <w:tcPr>
            <w:tcW w:w="170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[28]</w:t>
            </w:r>
          </w:p>
        </w:tc>
      </w:tr>
      <w:tr w:rsidR="00A94B33" w:rsidRPr="004D215C" w:rsidTr="00077125">
        <w:tc>
          <w:tcPr>
            <w:tcW w:w="2694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>Galectin</w:t>
            </w:r>
            <w:r w:rsidRPr="00077125">
              <w:rPr>
                <w:color w:val="auto"/>
                <w:sz w:val="28"/>
                <w:szCs w:val="28"/>
              </w:rPr>
              <w:t>-3</w:t>
            </w:r>
          </w:p>
        </w:tc>
        <w:tc>
          <w:tcPr>
            <w:tcW w:w="4961" w:type="dxa"/>
            <w:shd w:val="clear" w:color="auto" w:fill="auto"/>
          </w:tcPr>
          <w:p w:rsidR="00A94B33" w:rsidRPr="00077125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077125">
              <w:rPr>
                <w:color w:val="auto"/>
                <w:sz w:val="28"/>
                <w:szCs w:val="28"/>
                <w:lang w:val="en-US"/>
              </w:rPr>
              <w:t xml:space="preserve">enhancing of cell viability and proliferation, suppression of cell cytotoxicity </w:t>
            </w:r>
            <w:r w:rsidRPr="00077125">
              <w:rPr>
                <w:noProof/>
                <w:color w:val="auto"/>
                <w:sz w:val="28"/>
                <w:szCs w:val="28"/>
                <w:lang w:val="en-US"/>
              </w:rPr>
              <w:t>[99]</w:t>
            </w:r>
          </w:p>
        </w:tc>
        <w:tc>
          <w:tcPr>
            <w:tcW w:w="1701" w:type="dxa"/>
            <w:shd w:val="clear" w:color="auto" w:fill="auto"/>
          </w:tcPr>
          <w:p w:rsidR="00A94B33" w:rsidRPr="004D215C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077125">
              <w:rPr>
                <w:noProof/>
                <w:color w:val="auto"/>
                <w:sz w:val="28"/>
                <w:szCs w:val="28"/>
              </w:rPr>
              <w:t>[5]</w:t>
            </w:r>
          </w:p>
        </w:tc>
      </w:tr>
    </w:tbl>
    <w:p w:rsidR="00216152" w:rsidRDefault="00571ED0" w:rsidP="00077125">
      <w:pPr>
        <w:spacing w:line="480" w:lineRule="auto"/>
      </w:pPr>
    </w:p>
    <w:sectPr w:rsidR="0021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3"/>
    <w:rsid w:val="00077125"/>
    <w:rsid w:val="00571ED0"/>
    <w:rsid w:val="005B3DD7"/>
    <w:rsid w:val="008C06D3"/>
    <w:rsid w:val="00A94B33"/>
    <w:rsid w:val="00A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5121-7096-4CE7-8C24-438A30EA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Emphasis"/>
    <w:uiPriority w:val="20"/>
    <w:qFormat/>
    <w:rsid w:val="00A94B33"/>
    <w:rPr>
      <w:i/>
      <w:iCs/>
    </w:rPr>
  </w:style>
  <w:style w:type="character" w:customStyle="1" w:styleId="st">
    <w:name w:val="st"/>
    <w:rsid w:val="00A9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</Words>
  <Characters>2746</Characters>
  <Application>Microsoft Office Word</Application>
  <DocSecurity>0</DocSecurity>
  <Lines>50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Кореневский</dc:creator>
  <cp:keywords/>
  <dc:description/>
  <cp:lastModifiedBy>Кореневский</cp:lastModifiedBy>
  <cp:revision>4</cp:revision>
  <dcterms:created xsi:type="dcterms:W3CDTF">2020-03-02T12:08:00Z</dcterms:created>
  <dcterms:modified xsi:type="dcterms:W3CDTF">2020-03-04T13:38:00Z</dcterms:modified>
</cp:coreProperties>
</file>