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70"/>
        <w:gridCol w:w="2482"/>
        <w:gridCol w:w="2493"/>
        <w:gridCol w:w="2977"/>
      </w:tblGrid>
      <w:tr w:rsidR="00AD294E" w:rsidRPr="007576BF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4E" w:rsidRPr="007576BF" w:rsidRDefault="00AD294E" w:rsidP="00454332">
            <w:pPr>
              <w:pStyle w:val="a4"/>
              <w:spacing w:before="75" w:beforeAutospacing="0" w:after="75" w:afterAutospacing="0"/>
              <w:rPr>
                <w:rStyle w:val="a3"/>
                <w:b w:val="0"/>
                <w:sz w:val="28"/>
                <w:szCs w:val="28"/>
              </w:rPr>
            </w:pPr>
            <w:r w:rsidRPr="007576BF">
              <w:rPr>
                <w:rStyle w:val="a3"/>
                <w:b w:val="0"/>
                <w:sz w:val="28"/>
                <w:szCs w:val="28"/>
              </w:rPr>
              <w:t>Порядковый номер ссылки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454332">
            <w:pPr>
              <w:pStyle w:val="a4"/>
              <w:spacing w:before="75" w:beforeAutospacing="0" w:after="75" w:afterAutospacing="0"/>
              <w:rPr>
                <w:b/>
                <w:sz w:val="28"/>
                <w:szCs w:val="28"/>
              </w:rPr>
            </w:pPr>
            <w:r w:rsidRPr="007576BF">
              <w:rPr>
                <w:rStyle w:val="a3"/>
                <w:b w:val="0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454332">
            <w:pPr>
              <w:pStyle w:val="a4"/>
              <w:spacing w:before="75" w:beforeAutospacing="0" w:after="75" w:afterAutospacing="0"/>
              <w:rPr>
                <w:b/>
                <w:sz w:val="28"/>
                <w:szCs w:val="28"/>
              </w:rPr>
            </w:pPr>
            <w:r w:rsidRPr="007576BF">
              <w:rPr>
                <w:rStyle w:val="a3"/>
                <w:b w:val="0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454332">
            <w:pPr>
              <w:pStyle w:val="a4"/>
              <w:spacing w:before="75" w:beforeAutospacing="0" w:after="75" w:afterAutospacing="0"/>
              <w:rPr>
                <w:b/>
                <w:sz w:val="28"/>
                <w:szCs w:val="28"/>
              </w:rPr>
            </w:pPr>
            <w:r w:rsidRPr="007576BF">
              <w:rPr>
                <w:rStyle w:val="a3"/>
                <w:b w:val="0"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7576BF">
              <w:rPr>
                <w:rStyle w:val="a3"/>
                <w:b w:val="0"/>
                <w:sz w:val="28"/>
                <w:szCs w:val="28"/>
              </w:rPr>
              <w:t>doi</w:t>
            </w:r>
            <w:proofErr w:type="spellEnd"/>
            <w:r w:rsidRPr="007576BF">
              <w:rPr>
                <w:rStyle w:val="a3"/>
                <w:b w:val="0"/>
                <w:sz w:val="28"/>
                <w:szCs w:val="28"/>
              </w:rPr>
              <w:t>.</w:t>
            </w:r>
          </w:p>
        </w:tc>
      </w:tr>
      <w:tr w:rsidR="00AD294E" w:rsidRPr="00F276F6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2A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2A59CB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7576BF">
              <w:rPr>
                <w:bCs/>
                <w:sz w:val="28"/>
                <w:szCs w:val="28"/>
              </w:rPr>
              <w:t xml:space="preserve">Арсентьева Н. А., Семенов А. В., Жебрун Д. А., Васильева Е. В., </w:t>
            </w:r>
            <w:proofErr w:type="spellStart"/>
            <w:r w:rsidRPr="007576BF">
              <w:rPr>
                <w:bCs/>
                <w:sz w:val="28"/>
                <w:szCs w:val="28"/>
              </w:rPr>
              <w:t>Тотолян</w:t>
            </w:r>
            <w:proofErr w:type="spellEnd"/>
            <w:r w:rsidRPr="007576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76BF">
              <w:rPr>
                <w:bCs/>
                <w:sz w:val="28"/>
                <w:szCs w:val="28"/>
              </w:rPr>
              <w:t>Арег</w:t>
            </w:r>
            <w:proofErr w:type="spellEnd"/>
            <w:r w:rsidRPr="007576BF">
              <w:rPr>
                <w:bCs/>
                <w:sz w:val="28"/>
                <w:szCs w:val="28"/>
              </w:rPr>
              <w:t xml:space="preserve"> А.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 xml:space="preserve">Роль </w:t>
            </w:r>
            <w:proofErr w:type="spellStart"/>
            <w:r w:rsidRPr="007576BF">
              <w:rPr>
                <w:bCs/>
                <w:sz w:val="28"/>
                <w:szCs w:val="28"/>
              </w:rPr>
              <w:t>хемокинового</w:t>
            </w:r>
            <w:proofErr w:type="spellEnd"/>
            <w:r w:rsidRPr="007576BF">
              <w:rPr>
                <w:bCs/>
                <w:sz w:val="28"/>
                <w:szCs w:val="28"/>
              </w:rPr>
              <w:t xml:space="preserve"> рецептора </w:t>
            </w:r>
            <w:r w:rsidRPr="007576BF">
              <w:rPr>
                <w:bCs/>
                <w:sz w:val="28"/>
                <w:szCs w:val="28"/>
                <w:lang w:val="en-US"/>
              </w:rPr>
              <w:t>CXCR</w:t>
            </w:r>
            <w:r w:rsidRPr="007576BF">
              <w:rPr>
                <w:bCs/>
                <w:sz w:val="28"/>
                <w:szCs w:val="28"/>
              </w:rPr>
              <w:t xml:space="preserve">3 и его </w:t>
            </w:r>
            <w:proofErr w:type="spellStart"/>
            <w:r w:rsidRPr="007576BF">
              <w:rPr>
                <w:bCs/>
                <w:sz w:val="28"/>
                <w:szCs w:val="28"/>
              </w:rPr>
              <w:t>лигандов</w:t>
            </w:r>
            <w:proofErr w:type="spellEnd"/>
            <w:r w:rsidRPr="007576BF">
              <w:rPr>
                <w:bCs/>
                <w:sz w:val="28"/>
                <w:szCs w:val="28"/>
              </w:rPr>
              <w:t xml:space="preserve"> при некоторых иммунопатологических состояниях</w:t>
            </w:r>
            <w:r w:rsidRPr="007576BF">
              <w:rPr>
                <w:sz w:val="28"/>
                <w:szCs w:val="28"/>
              </w:rPr>
              <w:t xml:space="preserve"> // Медицинская иммунология.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iCs/>
                <w:sz w:val="28"/>
                <w:szCs w:val="28"/>
              </w:rPr>
              <w:t>2019.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7576BF">
              <w:rPr>
                <w:iCs/>
                <w:sz w:val="28"/>
                <w:szCs w:val="28"/>
              </w:rPr>
              <w:t xml:space="preserve"> Т.21, №4.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7576BF">
              <w:rPr>
                <w:iCs/>
                <w:sz w:val="28"/>
                <w:szCs w:val="28"/>
              </w:rPr>
              <w:t xml:space="preserve"> С. 617-632.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2A59C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Arsentieva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N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.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Semenov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.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V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Zhebrun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D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.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Vasilyeva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E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.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V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Totolian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Areg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.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Role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of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CXCR</w:t>
            </w:r>
            <w:r w:rsidRPr="008263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chemokine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receptor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and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its</w:t>
            </w:r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ligands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in certain diseases.</w:t>
            </w:r>
            <w:r w:rsidRPr="007576BF"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Medical immunology (Russia), 2019, Vol. 21, no. 4, pp. 617-632.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2A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: 10.15789/1563-0625-2019-4-617-632.</w:t>
            </w:r>
          </w:p>
          <w:p w:rsidR="00AD294E" w:rsidRPr="007576BF" w:rsidRDefault="00AD294E" w:rsidP="002A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D294E" w:rsidRPr="00390387" w:rsidRDefault="00AD294E" w:rsidP="002A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Pr="007576B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https://www.elibrary.ru/item.asp?id=41208119</w:t>
              </w:r>
            </w:hyperlink>
          </w:p>
        </w:tc>
      </w:tr>
      <w:tr w:rsidR="00AD294E" w:rsidRPr="00F276F6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s-ES"/>
              </w:rPr>
            </w:pPr>
            <w:r w:rsidRPr="007576BF">
              <w:rPr>
                <w:sz w:val="28"/>
                <w:szCs w:val="28"/>
              </w:rPr>
              <w:t>Арсентьева</w:t>
            </w:r>
            <w:r w:rsidRPr="007576BF">
              <w:rPr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sz w:val="28"/>
                <w:szCs w:val="28"/>
              </w:rPr>
              <w:t>Н</w:t>
            </w:r>
            <w:r w:rsidRPr="007576BF">
              <w:rPr>
                <w:sz w:val="28"/>
                <w:szCs w:val="28"/>
                <w:lang w:val="es-ES"/>
              </w:rPr>
              <w:t>.</w:t>
            </w:r>
            <w:r w:rsidRPr="007576BF">
              <w:rPr>
                <w:sz w:val="28"/>
                <w:szCs w:val="28"/>
              </w:rPr>
              <w:t>А</w:t>
            </w:r>
            <w:r w:rsidRPr="007576BF">
              <w:rPr>
                <w:sz w:val="28"/>
                <w:szCs w:val="28"/>
                <w:lang w:val="es-ES"/>
              </w:rPr>
              <w:t xml:space="preserve">., </w:t>
            </w:r>
            <w:r w:rsidRPr="007576BF">
              <w:rPr>
                <w:sz w:val="28"/>
                <w:szCs w:val="28"/>
              </w:rPr>
              <w:t>Семёнов</w:t>
            </w:r>
            <w:r w:rsidRPr="007576BF">
              <w:rPr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sz w:val="28"/>
                <w:szCs w:val="28"/>
              </w:rPr>
              <w:t>А</w:t>
            </w:r>
            <w:r w:rsidRPr="007576BF">
              <w:rPr>
                <w:sz w:val="28"/>
                <w:szCs w:val="28"/>
                <w:lang w:val="es-ES"/>
              </w:rPr>
              <w:t>.</w:t>
            </w:r>
            <w:r w:rsidRPr="007576BF">
              <w:rPr>
                <w:sz w:val="28"/>
                <w:szCs w:val="28"/>
              </w:rPr>
              <w:t>В</w:t>
            </w:r>
            <w:r w:rsidRPr="007576BF">
              <w:rPr>
                <w:sz w:val="28"/>
                <w:szCs w:val="28"/>
                <w:lang w:val="es-ES"/>
              </w:rPr>
              <w:t xml:space="preserve">., </w:t>
            </w:r>
            <w:r w:rsidRPr="007576BF">
              <w:rPr>
                <w:bCs/>
                <w:sz w:val="28"/>
                <w:szCs w:val="28"/>
              </w:rPr>
              <w:t>Любимова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Н</w:t>
            </w:r>
            <w:r w:rsidRPr="007576BF">
              <w:rPr>
                <w:bCs/>
                <w:sz w:val="28"/>
                <w:szCs w:val="28"/>
                <w:lang w:val="es-ES"/>
              </w:rPr>
              <w:t>.</w:t>
            </w:r>
            <w:r w:rsidRPr="007576BF">
              <w:rPr>
                <w:bCs/>
                <w:sz w:val="28"/>
                <w:szCs w:val="28"/>
              </w:rPr>
              <w:t>Е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., </w:t>
            </w:r>
            <w:proofErr w:type="spellStart"/>
            <w:r w:rsidRPr="007576BF">
              <w:rPr>
                <w:bCs/>
                <w:sz w:val="28"/>
                <w:szCs w:val="28"/>
              </w:rPr>
              <w:t>Басина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>.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., </w:t>
            </w:r>
            <w:r w:rsidRPr="007576BF">
              <w:rPr>
                <w:bCs/>
                <w:sz w:val="28"/>
                <w:szCs w:val="28"/>
              </w:rPr>
              <w:t>Е</w:t>
            </w:r>
            <w:r w:rsidRPr="007576BF">
              <w:rPr>
                <w:bCs/>
                <w:sz w:val="28"/>
                <w:szCs w:val="28"/>
                <w:lang w:val="es-ES"/>
              </w:rPr>
              <w:t>.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7576BF">
              <w:rPr>
                <w:bCs/>
                <w:sz w:val="28"/>
                <w:szCs w:val="28"/>
              </w:rPr>
              <w:t>Эсауленко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, </w:t>
            </w:r>
            <w:r w:rsidRPr="007576BF">
              <w:rPr>
                <w:bCs/>
                <w:sz w:val="28"/>
                <w:szCs w:val="28"/>
              </w:rPr>
              <w:t>Козлов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К</w:t>
            </w:r>
            <w:r w:rsidRPr="007576BF">
              <w:rPr>
                <w:bCs/>
                <w:sz w:val="28"/>
                <w:szCs w:val="28"/>
                <w:lang w:val="es-ES"/>
              </w:rPr>
              <w:t>.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., </w:t>
            </w:r>
            <w:r w:rsidRPr="007576BF">
              <w:rPr>
                <w:bCs/>
                <w:sz w:val="28"/>
                <w:szCs w:val="28"/>
              </w:rPr>
              <w:t>Жданов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К</w:t>
            </w:r>
            <w:r w:rsidRPr="007576BF">
              <w:rPr>
                <w:bCs/>
                <w:sz w:val="28"/>
                <w:szCs w:val="28"/>
                <w:lang w:val="es-ES"/>
              </w:rPr>
              <w:t>.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., </w:t>
            </w:r>
            <w:proofErr w:type="spellStart"/>
            <w:r w:rsidRPr="007576BF">
              <w:rPr>
                <w:bCs/>
                <w:sz w:val="28"/>
                <w:szCs w:val="28"/>
              </w:rPr>
              <w:t>Тотолян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76BF">
              <w:rPr>
                <w:bCs/>
                <w:sz w:val="28"/>
                <w:szCs w:val="28"/>
              </w:rPr>
              <w:t>Арег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А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.  </w:t>
            </w:r>
            <w:r w:rsidRPr="007576BF">
              <w:rPr>
                <w:bCs/>
                <w:sz w:val="28"/>
                <w:szCs w:val="28"/>
              </w:rPr>
              <w:t>Содержание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76BF">
              <w:rPr>
                <w:bCs/>
                <w:sz w:val="28"/>
                <w:szCs w:val="28"/>
              </w:rPr>
              <w:t>цитокинов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и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76BF">
              <w:rPr>
                <w:bCs/>
                <w:sz w:val="28"/>
                <w:szCs w:val="28"/>
              </w:rPr>
              <w:t>хемокинов</w:t>
            </w:r>
            <w:proofErr w:type="spellEnd"/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в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плазме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крови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больных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хроническим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вирусным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гепатитом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bCs/>
                <w:sz w:val="28"/>
                <w:szCs w:val="28"/>
              </w:rPr>
              <w:t>С</w:t>
            </w:r>
            <w:r w:rsidRPr="007576BF">
              <w:rPr>
                <w:bCs/>
                <w:sz w:val="28"/>
                <w:szCs w:val="28"/>
                <w:lang w:val="es-ES"/>
              </w:rPr>
              <w:t xml:space="preserve"> // </w:t>
            </w:r>
            <w:r w:rsidRPr="007576BF">
              <w:rPr>
                <w:iCs/>
                <w:sz w:val="28"/>
                <w:szCs w:val="28"/>
              </w:rPr>
              <w:t>Российский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iCs/>
                <w:sz w:val="28"/>
                <w:szCs w:val="28"/>
              </w:rPr>
              <w:t>иммунологический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iCs/>
                <w:sz w:val="28"/>
                <w:szCs w:val="28"/>
              </w:rPr>
              <w:t>журнал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. </w:t>
            </w:r>
            <w:r w:rsidRPr="007576BF">
              <w:rPr>
                <w:rFonts w:eastAsiaTheme="minorHAnsi"/>
                <w:sz w:val="28"/>
                <w:szCs w:val="28"/>
                <w:lang w:val="es-ES" w:eastAsia="en-US"/>
              </w:rPr>
              <w:t>–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 2015. </w:t>
            </w:r>
            <w:r w:rsidRPr="007576BF">
              <w:rPr>
                <w:rFonts w:eastAsiaTheme="minorHAnsi"/>
                <w:sz w:val="28"/>
                <w:szCs w:val="28"/>
                <w:lang w:val="es-ES" w:eastAsia="en-US"/>
              </w:rPr>
              <w:t>–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 </w:t>
            </w:r>
            <w:r w:rsidRPr="007576BF">
              <w:rPr>
                <w:iCs/>
                <w:sz w:val="28"/>
                <w:szCs w:val="28"/>
              </w:rPr>
              <w:t>Т</w:t>
            </w:r>
            <w:r w:rsidRPr="007576BF">
              <w:rPr>
                <w:iCs/>
                <w:sz w:val="28"/>
                <w:szCs w:val="28"/>
                <w:lang w:val="es-ES"/>
              </w:rPr>
              <w:t xml:space="preserve">.9 (18), № 1.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7576BF">
              <w:rPr>
                <w:iCs/>
                <w:sz w:val="28"/>
                <w:szCs w:val="28"/>
              </w:rPr>
              <w:t>С</w:t>
            </w:r>
            <w:r w:rsidRPr="007576BF">
              <w:rPr>
                <w:iCs/>
                <w:sz w:val="28"/>
                <w:szCs w:val="28"/>
                <w:lang w:val="es-ES"/>
              </w:rPr>
              <w:t>. 83-92.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s-ES"/>
              </w:rPr>
              <w:t xml:space="preserve">Arsent'eva N.A., Semenov A.V., Lyubimov N.E., Basina V.V., Esaulenko E.V., Kozlov K.V., Zhdanov K.V., Totolyan Areg A. Contents </w:t>
            </w:r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cytokines and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chemokines</w:t>
            </w:r>
            <w:proofErr w:type="spellEnd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in blood plasma of patients with chronic viral hepatitis C. 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 xml:space="preserve">Russian Journal of Immunology, 2015, </w:t>
            </w:r>
            <w:proofErr w:type="spellStart"/>
            <w:proofErr w:type="gramStart"/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Vol</w:t>
            </w:r>
            <w:proofErr w:type="spellEnd"/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 xml:space="preserve">  9</w:t>
            </w:r>
            <w:proofErr w:type="gramEnd"/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(18), no. 1, pp. 83-92.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7576B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https://www.elibrary.ru/item.asp?id=23500742</w:t>
              </w:r>
            </w:hyperlink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576BF">
              <w:rPr>
                <w:rFonts w:hint="eastAsia"/>
                <w:sz w:val="28"/>
                <w:szCs w:val="28"/>
              </w:rPr>
              <w:t>Демиденко</w:t>
            </w:r>
            <w:proofErr w:type="spellEnd"/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Т</w:t>
            </w:r>
            <w:r w:rsidRPr="007576BF">
              <w:rPr>
                <w:sz w:val="28"/>
                <w:szCs w:val="28"/>
              </w:rPr>
              <w:t>.</w:t>
            </w:r>
            <w:r w:rsidRPr="007576BF">
              <w:rPr>
                <w:rFonts w:hint="eastAsia"/>
                <w:sz w:val="28"/>
                <w:szCs w:val="28"/>
              </w:rPr>
              <w:t>П</w:t>
            </w:r>
            <w:r w:rsidRPr="007576BF">
              <w:rPr>
                <w:sz w:val="28"/>
                <w:szCs w:val="28"/>
              </w:rPr>
              <w:t xml:space="preserve">., </w:t>
            </w:r>
            <w:r w:rsidRPr="007576BF">
              <w:rPr>
                <w:rFonts w:hint="eastAsia"/>
                <w:sz w:val="28"/>
                <w:szCs w:val="28"/>
              </w:rPr>
              <w:t>Неверов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В</w:t>
            </w:r>
            <w:r w:rsidRPr="007576BF">
              <w:rPr>
                <w:sz w:val="28"/>
                <w:szCs w:val="28"/>
              </w:rPr>
              <w:t>.</w:t>
            </w:r>
            <w:r w:rsidRPr="007576BF">
              <w:rPr>
                <w:rFonts w:hint="eastAsia"/>
                <w:sz w:val="28"/>
                <w:szCs w:val="28"/>
              </w:rPr>
              <w:t>А</w:t>
            </w:r>
            <w:r w:rsidRPr="007576BF">
              <w:rPr>
                <w:sz w:val="28"/>
                <w:szCs w:val="28"/>
              </w:rPr>
              <w:t xml:space="preserve">.; </w:t>
            </w:r>
            <w:r w:rsidRPr="007576BF">
              <w:rPr>
                <w:rFonts w:hint="eastAsia"/>
                <w:sz w:val="28"/>
                <w:szCs w:val="28"/>
              </w:rPr>
              <w:t>под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ред</w:t>
            </w:r>
            <w:r w:rsidRPr="007576BF">
              <w:rPr>
                <w:sz w:val="28"/>
                <w:szCs w:val="28"/>
              </w:rPr>
              <w:t xml:space="preserve">. </w:t>
            </w:r>
            <w:r w:rsidRPr="007576BF">
              <w:rPr>
                <w:rFonts w:hint="eastAsia"/>
                <w:sz w:val="28"/>
                <w:szCs w:val="28"/>
              </w:rPr>
              <w:t>Ю</w:t>
            </w:r>
            <w:r w:rsidRPr="007576BF">
              <w:rPr>
                <w:sz w:val="28"/>
                <w:szCs w:val="28"/>
              </w:rPr>
              <w:t>.</w:t>
            </w:r>
            <w:r w:rsidRPr="007576BF">
              <w:rPr>
                <w:rFonts w:hint="eastAsia"/>
                <w:sz w:val="28"/>
                <w:szCs w:val="28"/>
              </w:rPr>
              <w:t>В</w:t>
            </w:r>
            <w:r w:rsidRPr="007576BF">
              <w:rPr>
                <w:sz w:val="28"/>
                <w:szCs w:val="28"/>
              </w:rPr>
              <w:t xml:space="preserve">. </w:t>
            </w:r>
            <w:proofErr w:type="spellStart"/>
            <w:r w:rsidRPr="007576BF">
              <w:rPr>
                <w:rFonts w:hint="eastAsia"/>
                <w:sz w:val="28"/>
                <w:szCs w:val="28"/>
              </w:rPr>
              <w:t>Лобзина</w:t>
            </w:r>
            <w:proofErr w:type="spellEnd"/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lastRenderedPageBreak/>
              <w:t>Вирусные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гепатиты</w:t>
            </w:r>
            <w:r w:rsidRPr="007576BF">
              <w:rPr>
                <w:sz w:val="28"/>
                <w:szCs w:val="28"/>
              </w:rPr>
              <w:t xml:space="preserve">: </w:t>
            </w:r>
            <w:r w:rsidRPr="007576BF">
              <w:rPr>
                <w:rFonts w:hint="eastAsia"/>
                <w:sz w:val="28"/>
                <w:szCs w:val="28"/>
              </w:rPr>
              <w:t>Пособие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для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врачей</w:t>
            </w:r>
            <w:r w:rsidRPr="007576BF">
              <w:rPr>
                <w:sz w:val="28"/>
                <w:szCs w:val="28"/>
              </w:rPr>
              <w:t xml:space="preserve">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7576BF">
              <w:rPr>
                <w:sz w:val="28"/>
                <w:szCs w:val="28"/>
              </w:rPr>
              <w:t xml:space="preserve"> </w:t>
            </w:r>
            <w:r w:rsidRPr="007576BF">
              <w:rPr>
                <w:rFonts w:hint="eastAsia"/>
                <w:sz w:val="28"/>
                <w:szCs w:val="28"/>
              </w:rPr>
              <w:t>СПб</w:t>
            </w:r>
            <w:r w:rsidRPr="007576BF">
              <w:rPr>
                <w:sz w:val="28"/>
                <w:szCs w:val="28"/>
              </w:rPr>
              <w:t>., 2011.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7576BF">
              <w:rPr>
                <w:sz w:val="28"/>
                <w:szCs w:val="28"/>
              </w:rPr>
              <w:t xml:space="preserve">  229 </w:t>
            </w:r>
            <w:proofErr w:type="gramStart"/>
            <w:r w:rsidRPr="007576BF">
              <w:rPr>
                <w:rFonts w:hint="eastAsia"/>
                <w:sz w:val="28"/>
                <w:szCs w:val="28"/>
              </w:rPr>
              <w:t>с</w:t>
            </w:r>
            <w:proofErr w:type="gramEnd"/>
            <w:r w:rsidRPr="007576BF">
              <w:rPr>
                <w:sz w:val="28"/>
                <w:szCs w:val="28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8263E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>Demidenko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T.P., </w:t>
            </w: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Neverov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V.A.; Viral hepatitis: a </w:t>
            </w:r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lastRenderedPageBreak/>
              <w:t xml:space="preserve">Guide for doctors. Ed. U.V </w:t>
            </w: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Lobzin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.</w:t>
            </w:r>
            <w:r w:rsidRPr="008263EE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63EE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en-US"/>
              </w:rPr>
              <w:t>St.Petersburg</w:t>
            </w:r>
            <w:proofErr w:type="spellEnd"/>
            <w:r w:rsidRPr="008263EE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en-US"/>
              </w:rPr>
              <w:t>, 2011, 229p.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76F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7576BF">
              <w:rPr>
                <w:sz w:val="28"/>
                <w:szCs w:val="28"/>
              </w:rPr>
              <w:t xml:space="preserve">Покровский В.И., Пак С.Г., </w:t>
            </w:r>
            <w:proofErr w:type="spellStart"/>
            <w:r w:rsidRPr="007576BF">
              <w:rPr>
                <w:sz w:val="28"/>
                <w:szCs w:val="28"/>
              </w:rPr>
              <w:t>Брико</w:t>
            </w:r>
            <w:proofErr w:type="spellEnd"/>
            <w:r w:rsidRPr="007576BF">
              <w:rPr>
                <w:sz w:val="28"/>
                <w:szCs w:val="28"/>
              </w:rPr>
              <w:t xml:space="preserve"> Н.И., </w:t>
            </w:r>
            <w:proofErr w:type="spellStart"/>
            <w:r w:rsidRPr="007576BF">
              <w:rPr>
                <w:sz w:val="28"/>
                <w:szCs w:val="28"/>
              </w:rPr>
              <w:t>Данилкин</w:t>
            </w:r>
            <w:proofErr w:type="spellEnd"/>
            <w:r w:rsidRPr="007576BF">
              <w:rPr>
                <w:sz w:val="28"/>
                <w:szCs w:val="28"/>
              </w:rPr>
              <w:t xml:space="preserve"> Б.К. Инфекционные болезни и эпидемиология: учебник.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7576BF">
              <w:rPr>
                <w:sz w:val="28"/>
                <w:szCs w:val="28"/>
              </w:rPr>
              <w:t xml:space="preserve"> М.: </w:t>
            </w:r>
            <w:proofErr w:type="spellStart"/>
            <w:r w:rsidRPr="007576BF">
              <w:rPr>
                <w:sz w:val="28"/>
                <w:szCs w:val="28"/>
              </w:rPr>
              <w:t>ГЭОТАР-Медиа</w:t>
            </w:r>
            <w:proofErr w:type="spellEnd"/>
            <w:r w:rsidRPr="007576BF">
              <w:rPr>
                <w:sz w:val="28"/>
                <w:szCs w:val="28"/>
              </w:rPr>
              <w:t>, 2012.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7576BF">
              <w:rPr>
                <w:sz w:val="28"/>
                <w:szCs w:val="28"/>
              </w:rPr>
              <w:t xml:space="preserve"> 1008 с.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8263E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Pokrovskyi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V.I., Pak S.G., </w:t>
            </w: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Briko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N.I., </w:t>
            </w:r>
            <w:proofErr w:type="spellStart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Danilkin</w:t>
            </w:r>
            <w:proofErr w:type="spellEnd"/>
            <w:r w:rsidRPr="008263EE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B.K. Infectious diseases and epidemiology: textbook.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 xml:space="preserve"> Moscow: GEOTAR-Media, 201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2,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 xml:space="preserve"> 1008 p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D294E" w:rsidRPr="00F276F6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</w:rPr>
            </w:pPr>
            <w:r w:rsidRPr="007576BF">
              <w:rPr>
                <w:sz w:val="28"/>
                <w:szCs w:val="28"/>
              </w:rPr>
              <w:t xml:space="preserve">Сурков А.Н., </w:t>
            </w:r>
            <w:proofErr w:type="spellStart"/>
            <w:r w:rsidRPr="007576BF">
              <w:rPr>
                <w:sz w:val="28"/>
                <w:szCs w:val="28"/>
              </w:rPr>
              <w:t>Намазова-Баранова</w:t>
            </w:r>
            <w:proofErr w:type="spellEnd"/>
            <w:r w:rsidRPr="007576BF">
              <w:rPr>
                <w:sz w:val="28"/>
                <w:szCs w:val="28"/>
              </w:rPr>
              <w:t xml:space="preserve"> Л.С., Геворкян А.К. </w:t>
            </w:r>
            <w:proofErr w:type="spellStart"/>
            <w:r w:rsidRPr="007576BF">
              <w:rPr>
                <w:sz w:val="28"/>
                <w:szCs w:val="28"/>
              </w:rPr>
              <w:t>Неинвазивная</w:t>
            </w:r>
            <w:proofErr w:type="spellEnd"/>
            <w:r w:rsidRPr="007576BF">
              <w:rPr>
                <w:sz w:val="28"/>
                <w:szCs w:val="28"/>
              </w:rPr>
              <w:t xml:space="preserve"> диагностика фиброза и цирроза печени при хронических вирусных гепатитах (обзор литературы) // Клиническая лабораторная диагностика.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7576BF">
              <w:rPr>
                <w:iCs/>
                <w:sz w:val="28"/>
                <w:szCs w:val="28"/>
              </w:rPr>
              <w:t>2016.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 w:rsidRPr="007576BF">
              <w:rPr>
                <w:iCs/>
                <w:sz w:val="28"/>
                <w:szCs w:val="28"/>
              </w:rPr>
              <w:t xml:space="preserve"> Т.61, № 4.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7576BF">
              <w:rPr>
                <w:iCs/>
                <w:sz w:val="28"/>
                <w:szCs w:val="28"/>
              </w:rPr>
              <w:t xml:space="preserve"> С. 209-214.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Surkov</w:t>
            </w:r>
            <w:proofErr w:type="spellEnd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A.N.,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Namazova-Baranova</w:t>
            </w:r>
            <w:proofErr w:type="spellEnd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L.S., </w:t>
            </w:r>
            <w:proofErr w:type="spellStart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Gevorkyan</w:t>
            </w:r>
            <w:proofErr w:type="spellEnd"/>
            <w:r w:rsidRPr="007576B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 xml:space="preserve"> A.K. Non-invasive diagnosis of liver fibrosis and cirrhosis in chronic viral hepatitis.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s-ES"/>
              </w:rPr>
              <w:t xml:space="preserve">Russian 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s-ES"/>
              </w:rPr>
              <w:t xml:space="preserve">linical 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L</w:t>
            </w:r>
            <w:r w:rsidRPr="007576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s-ES"/>
              </w:rPr>
              <w:t>aboratory Diagnostics, 2016, Vol. 61, no. 4, pp. 209-214.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s-ES"/>
              </w:rPr>
            </w:pPr>
            <w:r w:rsidRPr="007576BF">
              <w:rPr>
                <w:rFonts w:ascii="Times New Roman" w:eastAsia="Times New Roman" w:hAnsi="Times New Roman"/>
                <w:iCs/>
                <w:sz w:val="28"/>
                <w:szCs w:val="28"/>
                <w:lang w:val="es-ES"/>
              </w:rPr>
              <w:t>doi: 10.18821/0869-2084-2016-61-4-209-214.</w:t>
            </w:r>
          </w:p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ES"/>
              </w:rPr>
            </w:pPr>
            <w:hyperlink r:id="rId6" w:history="1">
              <w:r w:rsidRPr="007576BF">
                <w:rPr>
                  <w:rStyle w:val="a5"/>
                  <w:rFonts w:ascii="Times New Roman" w:hAnsi="Times New Roman"/>
                  <w:sz w:val="28"/>
                  <w:szCs w:val="28"/>
                  <w:lang w:val="es-ES"/>
                </w:rPr>
                <w:t>https://www.elibrary.ru/item.asp?id=26105517</w:t>
              </w:r>
            </w:hyperlink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8263EE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576BF">
              <w:rPr>
                <w:rFonts w:eastAsiaTheme="minorHAnsi"/>
                <w:sz w:val="28"/>
                <w:szCs w:val="28"/>
                <w:lang w:eastAsia="en-US"/>
              </w:rPr>
              <w:t>Ярилин</w:t>
            </w:r>
            <w:proofErr w:type="spellEnd"/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8263E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Иммунология</w:t>
            </w:r>
            <w:proofErr w:type="gramStart"/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eastAsia="en-US"/>
              </w:rPr>
              <w:t>учебник</w:t>
            </w:r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. – </w:t>
            </w:r>
            <w:r w:rsidRPr="007576BF">
              <w:rPr>
                <w:sz w:val="28"/>
                <w:szCs w:val="28"/>
              </w:rPr>
              <w:t>М</w:t>
            </w:r>
            <w:r w:rsidRPr="008263EE">
              <w:rPr>
                <w:sz w:val="28"/>
                <w:szCs w:val="28"/>
              </w:rPr>
              <w:t xml:space="preserve">.: </w:t>
            </w:r>
            <w:proofErr w:type="spellStart"/>
            <w:r w:rsidRPr="007576BF">
              <w:rPr>
                <w:sz w:val="28"/>
                <w:szCs w:val="28"/>
              </w:rPr>
              <w:t>ГЭОТАР</w:t>
            </w:r>
            <w:r w:rsidRPr="008263EE">
              <w:rPr>
                <w:sz w:val="28"/>
                <w:szCs w:val="28"/>
              </w:rPr>
              <w:t>-</w:t>
            </w:r>
            <w:r w:rsidRPr="007576BF">
              <w:rPr>
                <w:sz w:val="28"/>
                <w:szCs w:val="28"/>
              </w:rPr>
              <w:t>Медиа</w:t>
            </w:r>
            <w:proofErr w:type="spellEnd"/>
            <w:r w:rsidRPr="008263EE">
              <w:rPr>
                <w:sz w:val="28"/>
                <w:szCs w:val="28"/>
              </w:rPr>
              <w:t xml:space="preserve">, 2010. </w:t>
            </w:r>
            <w:r w:rsidRPr="008263EE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8263EE">
              <w:rPr>
                <w:sz w:val="28"/>
                <w:szCs w:val="28"/>
              </w:rPr>
              <w:t xml:space="preserve">752 </w:t>
            </w:r>
            <w:r w:rsidRPr="007576BF">
              <w:rPr>
                <w:sz w:val="28"/>
                <w:szCs w:val="28"/>
              </w:rPr>
              <w:t>с</w:t>
            </w:r>
            <w:r w:rsidRPr="008263EE">
              <w:rPr>
                <w:sz w:val="28"/>
                <w:szCs w:val="28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8263E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8263EE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Yarilin</w:t>
            </w:r>
            <w:proofErr w:type="spellEnd"/>
            <w:r w:rsidRPr="008263EE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A.A. Immunology: textbook</w:t>
            </w:r>
            <w:r w:rsidRPr="008263E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Moscow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: 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GEOTAR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-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Media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, 2010, 752 </w:t>
            </w:r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p</w:t>
            </w:r>
            <w:bookmarkStart w:id="0" w:name="_GoBack"/>
            <w:bookmarkEnd w:id="0"/>
            <w:r w:rsidRPr="008263EE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rFonts w:eastAsiaTheme="minorHAnsi"/>
                <w:sz w:val="28"/>
                <w:szCs w:val="28"/>
                <w:lang w:val="en-US"/>
              </w:rPr>
              <w:t>Chen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C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J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Yang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H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I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Su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J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Jen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C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L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You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L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Lu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S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N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Huang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G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T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7576BF">
              <w:rPr>
                <w:rFonts w:eastAsiaTheme="minorHAnsi"/>
                <w:sz w:val="28"/>
                <w:szCs w:val="28"/>
                <w:lang w:val="en-US"/>
              </w:rPr>
              <w:t>Iloeje</w:t>
            </w:r>
            <w:proofErr w:type="spellEnd"/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U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.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H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.,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REVEAL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>-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HBV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Study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>Group</w:t>
            </w:r>
            <w:r w:rsidRPr="00AD294E">
              <w:rPr>
                <w:rFonts w:eastAsiaTheme="minorHAnsi"/>
                <w:sz w:val="28"/>
                <w:szCs w:val="28"/>
                <w:lang w:val="en-US"/>
              </w:rPr>
              <w:t xml:space="preserve">.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t xml:space="preserve">Risk of </w:t>
            </w:r>
            <w:proofErr w:type="spellStart"/>
            <w:r w:rsidRPr="007576BF">
              <w:rPr>
                <w:rFonts w:eastAsiaTheme="minorHAnsi"/>
                <w:sz w:val="28"/>
                <w:szCs w:val="28"/>
                <w:lang w:val="en-US"/>
              </w:rPr>
              <w:t>hepatocellular</w:t>
            </w:r>
            <w:proofErr w:type="spellEnd"/>
            <w:r w:rsidRPr="007576BF">
              <w:rPr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rFonts w:eastAsiaTheme="minorHAnsi"/>
                <w:sz w:val="28"/>
                <w:szCs w:val="28"/>
                <w:lang w:val="en-US"/>
              </w:rPr>
              <w:lastRenderedPageBreak/>
              <w:t>carcinoma across a biological gradient of serum hepatitis B virus DNA level. JAMA, 2006, Vol. 295, no. 1, pp. 65–73.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: 10.1001/jama.295.1.65.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sz w:val="28"/>
                <w:szCs w:val="28"/>
                <w:lang w:val="en-US"/>
              </w:rPr>
              <w:t>Global Hepatitis Report 2017. Geneva: World Health Organization</w:t>
            </w:r>
            <w:r w:rsidRPr="008263EE">
              <w:rPr>
                <w:sz w:val="28"/>
                <w:szCs w:val="28"/>
                <w:lang w:val="en-US"/>
              </w:rPr>
              <w:t>,</w:t>
            </w:r>
            <w:r w:rsidRPr="007576BF">
              <w:rPr>
                <w:sz w:val="28"/>
                <w:szCs w:val="28"/>
                <w:lang w:val="en-US"/>
              </w:rPr>
              <w:t xml:space="preserve"> 2017.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Pr="007576BF">
                <w:rPr>
                  <w:rStyle w:val="a5"/>
                  <w:rFonts w:ascii="Times New Roman" w:hAnsi="Times New Roman"/>
                  <w:i/>
                  <w:sz w:val="28"/>
                  <w:szCs w:val="28"/>
                  <w:lang w:val="en-US"/>
                </w:rPr>
                <w:t>https://www.who.int/hepatitis/publications/global-hepatitis-report2017/en/</w:t>
              </w:r>
            </w:hyperlink>
            <w:r w:rsidRPr="007576BF">
              <w:rPr>
                <w:rStyle w:val="a5"/>
                <w:lang w:val="en-US"/>
              </w:rPr>
              <w:t xml:space="preserve">. </w:t>
            </w:r>
            <w:r w:rsidRPr="007576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(14.08.2019)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iCs/>
                <w:sz w:val="28"/>
                <w:szCs w:val="28"/>
                <w:lang w:val="en-US"/>
              </w:rPr>
              <w:t xml:space="preserve">Lee A.Y.S.,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Korner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H. The CCR6-CCL20 axis in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humoral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immunity and T-B cell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immunobiology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7576BF">
              <w:rPr>
                <w:iCs/>
                <w:sz w:val="28"/>
                <w:szCs w:val="28"/>
                <w:lang w:val="en-US"/>
              </w:rPr>
              <w:t>Immunobiol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>.,</w:t>
            </w:r>
            <w:proofErr w:type="gramEnd"/>
            <w:r w:rsidRPr="007576BF">
              <w:rPr>
                <w:iCs/>
                <w:sz w:val="28"/>
                <w:szCs w:val="28"/>
                <w:lang w:val="en-US"/>
              </w:rPr>
              <w:t xml:space="preserve"> 2019, Vol. 224, no. 3, pp. 449-454.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AD294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: 10.1016/j.imbio.2019.01.005.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576BF">
              <w:rPr>
                <w:sz w:val="28"/>
                <w:szCs w:val="28"/>
                <w:lang w:val="en-US"/>
              </w:rPr>
              <w:t>Mah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A.Y., Cooper M.A. </w:t>
            </w:r>
            <w:r w:rsidRPr="007576BF">
              <w:rPr>
                <w:bCs/>
                <w:sz w:val="28"/>
                <w:szCs w:val="28"/>
                <w:lang w:val="en-US"/>
              </w:rPr>
              <w:t>Metabolic regulation of Natural Killer Cell IFN-</w:t>
            </w:r>
            <w:r w:rsidRPr="007576BF">
              <w:rPr>
                <w:sz w:val="28"/>
                <w:szCs w:val="28"/>
              </w:rPr>
              <w:t>γ</w:t>
            </w:r>
            <w:r w:rsidRPr="007576BF">
              <w:rPr>
                <w:sz w:val="28"/>
                <w:szCs w:val="28"/>
                <w:lang w:val="en-US"/>
              </w:rPr>
              <w:t xml:space="preserve"> </w:t>
            </w:r>
            <w:r w:rsidRPr="007576BF">
              <w:rPr>
                <w:bCs/>
                <w:sz w:val="28"/>
                <w:szCs w:val="28"/>
                <w:lang w:val="en-US"/>
              </w:rPr>
              <w:t>production</w:t>
            </w:r>
            <w:r w:rsidRPr="007576BF">
              <w:rPr>
                <w:sz w:val="28"/>
                <w:szCs w:val="28"/>
                <w:lang w:val="en-US"/>
              </w:rPr>
              <w:t>.</w:t>
            </w:r>
            <w:r w:rsidRPr="007576BF">
              <w:rPr>
                <w:bCs/>
                <w:sz w:val="28"/>
                <w:szCs w:val="28"/>
                <w:lang w:val="en-US"/>
              </w:rPr>
              <w:t xml:space="preserve"> Crit.  Rev. </w:t>
            </w:r>
            <w:proofErr w:type="spellStart"/>
            <w:r w:rsidRPr="007576BF">
              <w:rPr>
                <w:bCs/>
                <w:sz w:val="28"/>
                <w:szCs w:val="28"/>
                <w:lang w:val="en-US"/>
              </w:rPr>
              <w:t>Immunol</w:t>
            </w:r>
            <w:proofErr w:type="spellEnd"/>
            <w:r w:rsidRPr="007576BF">
              <w:rPr>
                <w:bCs/>
                <w:sz w:val="28"/>
                <w:szCs w:val="28"/>
                <w:lang w:val="en-US"/>
              </w:rPr>
              <w:t>., 2016, Vol. 36, no. 2, pp. 131-147.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AD294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: 10.1615/CritRevImmunol.2016017387.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Metzemaekers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Vanheule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Janssens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Struyf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S., 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Proost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P. Overview of the mechanisms that may contribute to the non-redundant activities of interferon-inducible CXC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chemokine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 receptor 3 </w:t>
            </w:r>
            <w:proofErr w:type="spellStart"/>
            <w:r w:rsidRPr="007576BF">
              <w:rPr>
                <w:iCs/>
                <w:sz w:val="28"/>
                <w:szCs w:val="28"/>
                <w:lang w:val="en-US"/>
              </w:rPr>
              <w:t>ligands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 xml:space="preserve">. Front. </w:t>
            </w:r>
            <w:proofErr w:type="spellStart"/>
            <w:proofErr w:type="gramStart"/>
            <w:r w:rsidRPr="007576BF">
              <w:rPr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7576BF">
              <w:rPr>
                <w:iCs/>
                <w:sz w:val="28"/>
                <w:szCs w:val="28"/>
                <w:lang w:val="en-US"/>
              </w:rPr>
              <w:t>.,</w:t>
            </w:r>
            <w:proofErr w:type="gramEnd"/>
            <w:r w:rsidRPr="007576BF">
              <w:rPr>
                <w:iCs/>
                <w:sz w:val="28"/>
                <w:szCs w:val="28"/>
                <w:lang w:val="en-US"/>
              </w:rPr>
              <w:t xml:space="preserve"> 2018, Vol. 8, pp. 1970.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: 10.3389/fimmu.2017.01970.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sz w:val="28"/>
                <w:szCs w:val="28"/>
                <w:lang w:val="en-US"/>
              </w:rPr>
              <w:t xml:space="preserve">Van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Raemdonck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K., Van den Steen P.E.,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Liekens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S., Van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Damme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Struyf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S. CXCR3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ligands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in disease and therapy.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Cytok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>. Gro. Fact. Rev., 2015 Vol. 26, no. 3, pp. 311-27.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AD294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 10.1016/j.cytogfr.2014.11.009.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sz w:val="28"/>
                <w:szCs w:val="28"/>
                <w:lang w:val="en-US"/>
              </w:rPr>
              <w:t xml:space="preserve">Yang X.W., Wang X.S., Cheng F.B., Wang F., Wan L., Wang F., Huang H.X. Elevated CCL2/MCP-1 levels are related to disease severity in postmenopausal osteoporotic patients.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Clin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>. Lab., 2016, Vol. 62, no. 11, pp. 2173-2181.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AD294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: 10.7754/Clin.Lab.2016.160408</w:t>
            </w:r>
            <w:r w:rsidRPr="007576B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AD294E" w:rsidRPr="005F61DC" w:rsidTr="00AD294E"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F276F6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pStyle w:val="pp-first-last"/>
              <w:spacing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7576BF">
              <w:rPr>
                <w:sz w:val="28"/>
                <w:szCs w:val="28"/>
                <w:lang w:val="en-US"/>
              </w:rPr>
              <w:t xml:space="preserve">Zhang J., Patel L.,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Pienta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K.J. Targeting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Chemokine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(C-C motif)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Ligand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 xml:space="preserve"> 2 (CCL2) as an Example of Translation of Cancer Molecular Biology to the Clinic. </w:t>
            </w:r>
            <w:proofErr w:type="spellStart"/>
            <w:r w:rsidRPr="007576BF">
              <w:rPr>
                <w:sz w:val="28"/>
                <w:szCs w:val="28"/>
                <w:lang w:val="en-US"/>
              </w:rPr>
              <w:t>Prog</w:t>
            </w:r>
            <w:proofErr w:type="spellEnd"/>
            <w:r w:rsidRPr="007576BF">
              <w:rPr>
                <w:sz w:val="28"/>
                <w:szCs w:val="28"/>
                <w:lang w:val="en-US"/>
              </w:rPr>
              <w:t>. Mol. Biol. Transl. Sci., 2010, Vol. 95, pp. 31-53.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AD294E" w:rsidRDefault="00AD294E" w:rsidP="0095434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94E" w:rsidRPr="007576BF" w:rsidRDefault="00AD294E" w:rsidP="00954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7576BF">
              <w:rPr>
                <w:rFonts w:ascii="Times New Roman" w:hAnsi="Times New Roman"/>
                <w:sz w:val="28"/>
                <w:szCs w:val="28"/>
                <w:lang w:val="en-US"/>
              </w:rPr>
              <w:t>: 10.1016/B978-0-12-385071-3.00003-4.</w:t>
            </w:r>
          </w:p>
        </w:tc>
      </w:tr>
    </w:tbl>
    <w:p w:rsidR="00587EFA" w:rsidRPr="009924E2" w:rsidRDefault="00587EFA" w:rsidP="00454332">
      <w:pPr>
        <w:spacing w:line="240" w:lineRule="auto"/>
        <w:rPr>
          <w:lang w:val="en-US"/>
        </w:rPr>
      </w:pPr>
    </w:p>
    <w:sectPr w:rsidR="00587EFA" w:rsidRPr="009924E2" w:rsidSect="0058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924E2"/>
    <w:rsid w:val="001E5CD8"/>
    <w:rsid w:val="00245D02"/>
    <w:rsid w:val="00405E61"/>
    <w:rsid w:val="004523D0"/>
    <w:rsid w:val="00454332"/>
    <w:rsid w:val="00490C1C"/>
    <w:rsid w:val="004D7705"/>
    <w:rsid w:val="00587EFA"/>
    <w:rsid w:val="005F61DC"/>
    <w:rsid w:val="007576BF"/>
    <w:rsid w:val="008263EE"/>
    <w:rsid w:val="008431A4"/>
    <w:rsid w:val="008E7409"/>
    <w:rsid w:val="009924E2"/>
    <w:rsid w:val="00A04C0A"/>
    <w:rsid w:val="00A2118F"/>
    <w:rsid w:val="00A575F1"/>
    <w:rsid w:val="00AD294E"/>
    <w:rsid w:val="00B375C3"/>
    <w:rsid w:val="00F276F6"/>
    <w:rsid w:val="00F5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924E2"/>
    <w:rPr>
      <w:rFonts w:cs="Times New Roman"/>
      <w:b/>
      <w:bCs/>
    </w:rPr>
  </w:style>
  <w:style w:type="paragraph" w:styleId="a4">
    <w:name w:val="Normal (Web)"/>
    <w:basedOn w:val="a"/>
    <w:uiPriority w:val="99"/>
    <w:qFormat/>
    <w:rsid w:val="009924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p-first-last">
    <w:name w:val="p p-first-last"/>
    <w:basedOn w:val="a"/>
    <w:qFormat/>
    <w:rsid w:val="009924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24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o.int/hepatitis/publications/global-hepatitis-report2017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ibrary.ru/item.asp?id=26105517" TargetMode="External"/><Relationship Id="rId5" Type="http://schemas.openxmlformats.org/officeDocument/2006/relationships/hyperlink" Target="https://www.elibrary.ru/item.asp?id=23500742" TargetMode="External"/><Relationship Id="rId4" Type="http://schemas.openxmlformats.org/officeDocument/2006/relationships/hyperlink" Target="https://www.elibrary.ru/item.asp?id=412081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2020-03-05T10:51:00Z</dcterms:created>
  <dcterms:modified xsi:type="dcterms:W3CDTF">2020-03-05T10:56:00Z</dcterms:modified>
</cp:coreProperties>
</file>