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2087"/>
        <w:gridCol w:w="1488"/>
        <w:gridCol w:w="4613"/>
      </w:tblGrid>
      <w:tr w:rsidR="0092432F" w:rsidTr="006E12A0">
        <w:tc>
          <w:tcPr>
            <w:tcW w:w="1440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ссылки</w:t>
            </w:r>
          </w:p>
        </w:tc>
        <w:tc>
          <w:tcPr>
            <w:tcW w:w="2087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1C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488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4613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Полный интернет-адрес (UR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L) цитируемой статьи или ее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</w:t>
            </w:r>
            <w:proofErr w:type="spellEnd"/>
          </w:p>
        </w:tc>
      </w:tr>
      <w:tr w:rsidR="0092432F" w:rsidRPr="00640FEB" w:rsidTr="006E12A0">
        <w:tc>
          <w:tcPr>
            <w:tcW w:w="1440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087" w:type="dxa"/>
          </w:tcPr>
          <w:p w:rsidR="001D41C2" w:rsidRDefault="001D41C2">
            <w:r w:rsidRPr="004E1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Головач И.Ю., </w:t>
            </w:r>
            <w:proofErr w:type="spellStart"/>
            <w:r w:rsidRPr="004E1DC3">
              <w:rPr>
                <w:rFonts w:ascii="Times New Roman" w:hAnsi="Times New Roman" w:cs="Times New Roman"/>
                <w:iCs/>
                <w:sz w:val="24"/>
                <w:szCs w:val="24"/>
              </w:rPr>
              <w:t>Зазирный</w:t>
            </w:r>
            <w:proofErr w:type="spellEnd"/>
            <w:r w:rsidRPr="004E1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И.М., Семенив И.П.</w:t>
            </w:r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Посттравматический остеоартрит: воспалительные, клеточные и биомеханические механизмы прогрессирования заболевания // Новости медицины и фармации. – 2016. – №1(561). – С. 16-18.</w:t>
            </w:r>
          </w:p>
        </w:tc>
        <w:tc>
          <w:tcPr>
            <w:tcW w:w="1488" w:type="dxa"/>
          </w:tcPr>
          <w:p w:rsidR="001D41C2" w:rsidRPr="001D41C2" w:rsidRDefault="001D41C2">
            <w:pPr>
              <w:rPr>
                <w:lang w:val="en-US"/>
              </w:rPr>
            </w:pP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Golovach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I.YU.,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Zazirnyj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I.M.,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Semeniv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I.P. Post-traumatic osteoarthritis: inflammatory, cellular, and biomechanical mechanisms of disease progression. </w:t>
            </w:r>
            <w:r w:rsidRPr="004E1D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News of medicine and pharmacy (Russia), 2016, no. 1(561), pp. 16-18. (In Russ.)</w:t>
            </w:r>
          </w:p>
        </w:tc>
        <w:tc>
          <w:tcPr>
            <w:tcW w:w="4613" w:type="dxa"/>
          </w:tcPr>
          <w:p w:rsidR="001D41C2" w:rsidRPr="0092432F" w:rsidRDefault="006E12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0B113A"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https://www.elibrary.ru/item.asp?id=25997994</w:t>
              </w:r>
            </w:hyperlink>
          </w:p>
        </w:tc>
      </w:tr>
      <w:tr w:rsidR="0092432F" w:rsidTr="006E12A0">
        <w:tc>
          <w:tcPr>
            <w:tcW w:w="1440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087" w:type="dxa"/>
          </w:tcPr>
          <w:p w:rsidR="001D41C2" w:rsidRDefault="001D41C2"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Зайцева Е.М., Кузин А.В. Применение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нестеройдных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противовоспалительных препаратов при остеоартрите: взгляд сквозь призму патогенеза // Эффективная фармакотерапия. – 2019. – Т. 15, №14. – С. 26-34.</w:t>
            </w:r>
          </w:p>
        </w:tc>
        <w:tc>
          <w:tcPr>
            <w:tcW w:w="1488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Zajceva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E.M.,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Kuzin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 The use of non-steroidal anti-inflammatory drugs in osteoarthritis: looking through the lens of pathogenesis. Effective Pharmacotherapy (Russia),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2019, Vol. 15, no. 14, pp. 26-34. (In Russ.)</w:t>
            </w:r>
          </w:p>
        </w:tc>
        <w:tc>
          <w:tcPr>
            <w:tcW w:w="4613" w:type="dxa"/>
          </w:tcPr>
          <w:p w:rsidR="001D41C2" w:rsidRPr="0092432F" w:rsidRDefault="006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97B9C"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https://doi.org/</w:t>
              </w:r>
            </w:hyperlink>
            <w:hyperlink r:id="rId6" w:tgtFrame="_blank" w:history="1">
              <w:r w:rsidR="00A97B9C"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10.33978/2307-3586-2019-15-14-26-34</w:t>
              </w:r>
            </w:hyperlink>
          </w:p>
        </w:tc>
      </w:tr>
      <w:tr w:rsidR="0092432F" w:rsidTr="006E12A0">
        <w:tc>
          <w:tcPr>
            <w:tcW w:w="1440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087" w:type="dxa"/>
          </w:tcPr>
          <w:p w:rsidR="001D41C2" w:rsidRDefault="001D41C2"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Захватов А.Н., Беляев А.Н., Тарасова Т.В., Аванесов А.М.,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Захаркин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Чекмаева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А.А. Патогенетическая коррекция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цитокинового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дисбаланса при экспериментальном посттравматическом артрите // Ульяновский медико-биологический журнал. – 2018. – </w:t>
            </w:r>
            <w:r w:rsidRPr="004E1DC3">
              <w:rPr>
                <w:rFonts w:ascii="Times New Roman" w:hAnsi="Times New Roman" w:cs="Times New Roman"/>
                <w:iCs/>
                <w:sz w:val="24"/>
                <w:szCs w:val="24"/>
              </w:rPr>
              <w:t>Т. 3</w:t>
            </w:r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. – С. 101-108.</w:t>
            </w:r>
          </w:p>
        </w:tc>
        <w:tc>
          <w:tcPr>
            <w:tcW w:w="1488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Zakhvatov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Belyaev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Tarasova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Avanesov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Zakharkin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Chekmaeva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Pathogenetic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correction of cytokine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disbalance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experimental posttraumatic arthritis. </w:t>
            </w:r>
            <w:r w:rsidRPr="004E1D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Ulyanovsk Medical Biological Journal (Russia), 2018,</w:t>
            </w:r>
            <w:r w:rsidRPr="004E1D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Vol. 3, </w:t>
            </w:r>
            <w:r w:rsidRPr="004E1D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pp. 101-108.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Russ.)</w:t>
            </w:r>
          </w:p>
        </w:tc>
        <w:tc>
          <w:tcPr>
            <w:tcW w:w="4613" w:type="dxa"/>
          </w:tcPr>
          <w:p w:rsidR="001D41C2" w:rsidRPr="0092432F" w:rsidRDefault="0092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https://doi.org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10.23648/UMBJ.2018.31.17221</w:t>
            </w:r>
          </w:p>
        </w:tc>
      </w:tr>
      <w:tr w:rsidR="0092432F" w:rsidRPr="0092432F" w:rsidTr="006E12A0">
        <w:tc>
          <w:tcPr>
            <w:tcW w:w="1440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087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iCs/>
                <w:sz w:val="24"/>
                <w:szCs w:val="24"/>
              </w:rPr>
              <w:t>Зоткин</w:t>
            </w:r>
            <w:proofErr w:type="spellEnd"/>
            <w:r w:rsidRPr="004E1D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Е.Г.</w:t>
            </w:r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особенности инъекционной терапии остеоартрита коленных суставов //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Фарматека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. – 2018. – №52. – С. 20-25.</w:t>
            </w:r>
          </w:p>
        </w:tc>
        <w:tc>
          <w:tcPr>
            <w:tcW w:w="1488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Zotkin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 Capabilities and features of the injection treatment of osteoarthritis of the knee. </w:t>
            </w:r>
            <w:proofErr w:type="spellStart"/>
            <w:r w:rsidRPr="004E1D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Pharmateca</w:t>
            </w:r>
            <w:proofErr w:type="spellEnd"/>
            <w:r w:rsidRPr="004E1D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(Russia), 2018, no. 52, pp. 20-25.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 Russ.)</w:t>
            </w:r>
          </w:p>
        </w:tc>
        <w:tc>
          <w:tcPr>
            <w:tcW w:w="4613" w:type="dxa"/>
          </w:tcPr>
          <w:p w:rsidR="001D41C2" w:rsidRPr="0092432F" w:rsidRDefault="0092432F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hyperlink r:id="rId7" w:tgtFrame="_blank" w:history="1">
              <w:r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10.18565/</w:t>
              </w:r>
              <w:proofErr w:type="spellStart"/>
              <w:r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pharmateca</w:t>
              </w:r>
              <w:proofErr w:type="spellEnd"/>
              <w:r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.2018.</w:t>
              </w:r>
              <w:r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</w:t>
              </w:r>
              <w:r w:rsidRPr="0092432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2.20-25</w:t>
              </w:r>
            </w:hyperlink>
          </w:p>
        </w:tc>
      </w:tr>
      <w:tr w:rsidR="0092432F" w:rsidTr="006E12A0">
        <w:tc>
          <w:tcPr>
            <w:tcW w:w="1440" w:type="dxa"/>
          </w:tcPr>
          <w:p w:rsidR="001D41C2" w:rsidRPr="001D41C2" w:rsidRDefault="001D4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087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Раймуев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К.В., Ищенко А.М., Малышев М.Е.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Провоспалительные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противовоспалительные цитокины в патогенезе </w:t>
            </w:r>
            <w:r w:rsidRPr="004E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остеоартрита //Вестник Северо-Западного государственного медицинского университета им.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И.И.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Мечникова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2018. – Т. 10, №3. – С. 19-27.</w:t>
            </w:r>
          </w:p>
        </w:tc>
        <w:tc>
          <w:tcPr>
            <w:tcW w:w="1488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Rajmuev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K.V.,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Ishchenko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Malyshev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M.E. Pro-inflammatory and anti-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inflammatory cytokines in the pathogenesis of osteoarthritis. Bulletin of the northwestern state medical University. I. I.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Mechnikov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2018, Vol. 10, no. 3, pp. 19-27. (In Russ.)</w:t>
            </w:r>
          </w:p>
        </w:tc>
        <w:tc>
          <w:tcPr>
            <w:tcW w:w="4613" w:type="dxa"/>
          </w:tcPr>
          <w:p w:rsidR="001D41C2" w:rsidRDefault="00560A47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https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 w:rsidRPr="00560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10.17816/mechnikov201810319-27</w:t>
            </w:r>
            <w:r w:rsidRPr="00560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92432F" w:rsidTr="006E12A0">
        <w:tc>
          <w:tcPr>
            <w:tcW w:w="1440" w:type="dxa"/>
          </w:tcPr>
          <w:p w:rsidR="001D41C2" w:rsidRPr="001D41C2" w:rsidRDefault="006E1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1D41C2"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87" w:type="dxa"/>
          </w:tcPr>
          <w:p w:rsidR="001D41C2" w:rsidRDefault="001D41C2"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Торгашин А.Н., Родионова С.С., Торгашина А.В.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Озонотерапия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– недооцененные возможности в лечении заболеваний крупных суставов // Современная ревматология. – 2019. – Т. 13, №3. – С. 126-129.</w:t>
            </w:r>
          </w:p>
        </w:tc>
        <w:tc>
          <w:tcPr>
            <w:tcW w:w="1488" w:type="dxa"/>
          </w:tcPr>
          <w:p w:rsidR="001D41C2" w:rsidRDefault="001D41C2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Torgashin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Rodionova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Torgashina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 Ozone therapy-underestimated opportunities in the treatment of diseases of large joints. Modern rheumatology, 2019, Vol. 13, no. 3, pp. 126-129. (In Russ.)</w:t>
            </w:r>
          </w:p>
        </w:tc>
        <w:tc>
          <w:tcPr>
            <w:tcW w:w="4613" w:type="dxa"/>
          </w:tcPr>
          <w:p w:rsidR="001D41C2" w:rsidRDefault="00DD3B5D" w:rsidP="00DD3B5D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hyperlink r:id="rId8" w:tgtFrame="_blank" w:history="1">
              <w:r w:rsidRPr="00DD3B5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10.14412/1996-7012-2019-3-126-129</w:t>
              </w:r>
            </w:hyperlink>
          </w:p>
        </w:tc>
      </w:tr>
      <w:tr w:rsidR="0092432F" w:rsidTr="006E12A0">
        <w:tc>
          <w:tcPr>
            <w:tcW w:w="1440" w:type="dxa"/>
          </w:tcPr>
          <w:p w:rsidR="001D41C2" w:rsidRPr="001D41C2" w:rsidRDefault="006E1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D41C2"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87" w:type="dxa"/>
          </w:tcPr>
          <w:p w:rsidR="001D41C2" w:rsidRDefault="004A6FE9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Ширинский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В.С.,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Казыгашева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>Ширинский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</w:rPr>
              <w:t xml:space="preserve"> И.В. Воспаление и иммунитет: роль в патогенезе остеоартрита // Медицинская иммунология. – 2019. – Т. 21, №1. – С. 39-48.</w:t>
            </w:r>
          </w:p>
        </w:tc>
        <w:tc>
          <w:tcPr>
            <w:tcW w:w="1488" w:type="dxa"/>
          </w:tcPr>
          <w:p w:rsidR="001D41C2" w:rsidRDefault="004A6FE9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SHirinskij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V.S.,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Kazygasheva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SHirinskij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I.V. Inflammation and immunity: role in the pathogenesis of osteoarthritis. Medical Immunology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(Russia), 2019, Vol. 21, no. 1, pp. 39-48. (In Russ.)</w:t>
            </w:r>
          </w:p>
        </w:tc>
        <w:tc>
          <w:tcPr>
            <w:tcW w:w="4613" w:type="dxa"/>
          </w:tcPr>
          <w:p w:rsidR="001D41C2" w:rsidRPr="00B86AF1" w:rsidRDefault="006E1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86AF1" w:rsidRPr="00B86A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https://www.elibrary.ru/item.asp?id=36997293</w:t>
              </w:r>
            </w:hyperlink>
          </w:p>
        </w:tc>
      </w:tr>
      <w:tr w:rsidR="0092432F" w:rsidRPr="00B86AF1" w:rsidTr="006E12A0">
        <w:tc>
          <w:tcPr>
            <w:tcW w:w="1440" w:type="dxa"/>
          </w:tcPr>
          <w:p w:rsidR="001D41C2" w:rsidRPr="001D41C2" w:rsidRDefault="006E1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1D41C2"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87" w:type="dxa"/>
          </w:tcPr>
          <w:p w:rsidR="001D41C2" w:rsidRDefault="004A6FE9"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Carlson A.K.,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Rawle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Wallace C.W., Brooks E.G., Adams E., Greenwood M.C.,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Bothner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June R.K.,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Lotz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Charachterization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synovial fluid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metabolomic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phenotypes of cartilage morphological changes associated with osteoarthritis. Osteoarthritis and Cartilage, 2019, Vol. 27, no. 8, pp. 1174-1184.</w:t>
            </w:r>
          </w:p>
        </w:tc>
        <w:tc>
          <w:tcPr>
            <w:tcW w:w="1488" w:type="dxa"/>
          </w:tcPr>
          <w:p w:rsidR="001D41C2" w:rsidRDefault="004A6FE9"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Carlson A.K.,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Rawle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R.A., Wallace C.W., Brooks E.G., Adams E., Greenwood M.C.,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Bothner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June R.K.,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Olmer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Lotz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Charachterization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synovial fluid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metabolomic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phenotypes of cartilage morphological changes associated with osteoarthritis. Osteoarthritis and Cartilage, 2019, Vol. 27, no. 8, pp. 1174-1184.</w:t>
            </w:r>
          </w:p>
        </w:tc>
        <w:tc>
          <w:tcPr>
            <w:tcW w:w="4613" w:type="dxa"/>
          </w:tcPr>
          <w:p w:rsidR="001D41C2" w:rsidRPr="00B86AF1" w:rsidRDefault="00B86AF1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/10.1016/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joca</w:t>
            </w:r>
            <w:proofErr w:type="spellEnd"/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.2019.04.007</w:t>
            </w:r>
          </w:p>
        </w:tc>
      </w:tr>
      <w:tr w:rsidR="0092432F" w:rsidRPr="00B86AF1" w:rsidTr="006E12A0">
        <w:tc>
          <w:tcPr>
            <w:tcW w:w="1440" w:type="dxa"/>
          </w:tcPr>
          <w:p w:rsidR="001D41C2" w:rsidRPr="001D41C2" w:rsidRDefault="006E1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D41C2"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87" w:type="dxa"/>
          </w:tcPr>
          <w:p w:rsidR="001D41C2" w:rsidRDefault="000E7316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Chisari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Yaghmour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K.M., Khan W.S. The effects of TNF-alpha inhibition on cartilage: a systematic review of preclinical studies. Osteoarthritis and Cartilage, 2019.</w:t>
            </w:r>
          </w:p>
        </w:tc>
        <w:tc>
          <w:tcPr>
            <w:tcW w:w="1488" w:type="dxa"/>
          </w:tcPr>
          <w:p w:rsidR="001D41C2" w:rsidRDefault="000E7316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Chisari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Yaghmour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K.M., Khan W.S. The effects of TNF-alpha inhibition on cartilage: a systematic review of preclinical studies. Osteoarthritis and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Cartilage, 2019.</w:t>
            </w:r>
          </w:p>
        </w:tc>
        <w:tc>
          <w:tcPr>
            <w:tcW w:w="4613" w:type="dxa"/>
          </w:tcPr>
          <w:p w:rsidR="001D41C2" w:rsidRPr="00B86AF1" w:rsidRDefault="00B86AF1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https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hyperlink r:id="rId10" w:tgtFrame="_blank" w:history="1">
              <w:r w:rsidRPr="00B86AF1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10.1016/</w:t>
              </w:r>
              <w:r w:rsidRPr="00B86AF1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</w:t>
              </w:r>
              <w:r w:rsidRPr="00B86AF1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B86AF1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joca</w:t>
              </w:r>
              <w:proofErr w:type="spellEnd"/>
              <w:r w:rsidRPr="00B86AF1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.2019.09.008</w:t>
              </w:r>
            </w:hyperlink>
          </w:p>
        </w:tc>
      </w:tr>
      <w:tr w:rsidR="0092432F" w:rsidTr="006E12A0">
        <w:tc>
          <w:tcPr>
            <w:tcW w:w="1440" w:type="dxa"/>
          </w:tcPr>
          <w:p w:rsidR="001D41C2" w:rsidRPr="001D41C2" w:rsidRDefault="006E1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1D41C2"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87" w:type="dxa"/>
          </w:tcPr>
          <w:p w:rsidR="001D41C2" w:rsidRDefault="000E7316"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Coleman M.C.,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Buckwalter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J.A., Martin J.A. Potential mechanisms of PTA: oxidative stress. Post-Traumatic Arthritis: Pathogenesis, Diagnosis and Management, 2015, pp. 211-219.</w:t>
            </w:r>
          </w:p>
        </w:tc>
        <w:tc>
          <w:tcPr>
            <w:tcW w:w="1488" w:type="dxa"/>
          </w:tcPr>
          <w:p w:rsidR="001D41C2" w:rsidRDefault="000E7316"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Coleman M.C.,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Buckwalter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J.A., Martin J.A. Potential mechanisms of PTA: oxidative stress. Post-Traumatic Arthritis: Pathogenesis, Diagnosis and Management, 2015, pp. 211-219.</w:t>
            </w:r>
          </w:p>
        </w:tc>
        <w:tc>
          <w:tcPr>
            <w:tcW w:w="4613" w:type="dxa"/>
          </w:tcPr>
          <w:p w:rsidR="001D41C2" w:rsidRDefault="00BF61D6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86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hyperlink r:id="rId11" w:tgtFrame="_blank" w:history="1">
              <w:r w:rsidRPr="00BF61D6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10.1007/978-1-4899-7606-2_17</w:t>
              </w:r>
            </w:hyperlink>
          </w:p>
        </w:tc>
      </w:tr>
      <w:tr w:rsidR="0092432F" w:rsidRPr="00BF61D6" w:rsidTr="006E12A0">
        <w:tc>
          <w:tcPr>
            <w:tcW w:w="1440" w:type="dxa"/>
          </w:tcPr>
          <w:p w:rsidR="001D41C2" w:rsidRPr="001D41C2" w:rsidRDefault="006E12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  <w:r w:rsidR="001D41C2" w:rsidRPr="001D41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87" w:type="dxa"/>
          </w:tcPr>
          <w:p w:rsidR="001D41C2" w:rsidRDefault="000E7316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Goutas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Tsezou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Trachana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Syrrou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Papathanasiou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The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autophagic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response to oxidative stress in osteoarthritic chondrocytes is deregulated. Free Radical Biology &amp; Medicine, 2018, Vol. 126, pp. 122-132.</w:t>
            </w:r>
          </w:p>
        </w:tc>
        <w:tc>
          <w:tcPr>
            <w:tcW w:w="1488" w:type="dxa"/>
          </w:tcPr>
          <w:p w:rsidR="001D41C2" w:rsidRDefault="000E7316"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Goutas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Tsezou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Trachana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Syrrou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Papathanasiou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The </w:t>
            </w:r>
            <w:proofErr w:type="spellStart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autophagic</w:t>
            </w:r>
            <w:proofErr w:type="spellEnd"/>
            <w:r w:rsidRPr="004E1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response to oxidative stress in osteoarthritic chondrocytes is deregulated. Free Radical Biology &amp; Medicine, 2018, Vol. 126, pp. 122-132.</w:t>
            </w:r>
          </w:p>
        </w:tc>
        <w:tc>
          <w:tcPr>
            <w:tcW w:w="4613" w:type="dxa"/>
          </w:tcPr>
          <w:p w:rsidR="001D41C2" w:rsidRPr="00BF61D6" w:rsidRDefault="00BF61D6"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BF61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doi</w:t>
            </w:r>
            <w:proofErr w:type="spellEnd"/>
            <w:r w:rsidRPr="00BF61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92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F61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hyperlink r:id="rId12" w:tgtFrame="_blank" w:history="1">
              <w:r w:rsidRPr="00BF61D6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10.1016/</w:t>
              </w:r>
              <w:r w:rsidRPr="00BF61D6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j</w:t>
              </w:r>
              <w:r w:rsidRPr="00BF61D6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BF61D6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freeradbiomed</w:t>
              </w:r>
              <w:proofErr w:type="spellEnd"/>
              <w:r w:rsidRPr="00BF61D6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.2018.08.003</w:t>
              </w:r>
            </w:hyperlink>
          </w:p>
        </w:tc>
      </w:tr>
    </w:tbl>
    <w:p w:rsidR="005F57B3" w:rsidRDefault="005F57B3"/>
    <w:sectPr w:rsidR="005F57B3" w:rsidSect="000B11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7A"/>
    <w:rsid w:val="000B113A"/>
    <w:rsid w:val="000E7316"/>
    <w:rsid w:val="001D41C2"/>
    <w:rsid w:val="004A6FE9"/>
    <w:rsid w:val="00560A47"/>
    <w:rsid w:val="005F57B3"/>
    <w:rsid w:val="00640FEB"/>
    <w:rsid w:val="006E12A0"/>
    <w:rsid w:val="0092432F"/>
    <w:rsid w:val="00A97B9C"/>
    <w:rsid w:val="00B86AF1"/>
    <w:rsid w:val="00BB22A1"/>
    <w:rsid w:val="00BF61D6"/>
    <w:rsid w:val="00DA092B"/>
    <w:rsid w:val="00DD3B5D"/>
    <w:rsid w:val="00F6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C20"/>
  <w15:chartTrackingRefBased/>
  <w15:docId w15:val="{12A36286-443C-42EE-A79A-31B684F6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D41C2"/>
    <w:rPr>
      <w:b/>
      <w:bCs/>
    </w:rPr>
  </w:style>
  <w:style w:type="character" w:styleId="a5">
    <w:name w:val="Hyperlink"/>
    <w:basedOn w:val="a0"/>
    <w:uiPriority w:val="99"/>
    <w:unhideWhenUsed/>
    <w:rsid w:val="000B1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412/1996-7012-2019-3-126-12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8565/pharmateca.2018.s2.20-25" TargetMode="External"/><Relationship Id="rId12" Type="http://schemas.openxmlformats.org/officeDocument/2006/relationships/hyperlink" Target="https://doi.org/10.1016/j.freeradbiomed.2018.08.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78/2307-3586-2019-15-14-26-34" TargetMode="External"/><Relationship Id="rId11" Type="http://schemas.openxmlformats.org/officeDocument/2006/relationships/hyperlink" Target="https://doi.org/10.1007/978-1-4899-7606-2_17" TargetMode="External"/><Relationship Id="rId5" Type="http://schemas.openxmlformats.org/officeDocument/2006/relationships/hyperlink" Target="https://doi.org/" TargetMode="External"/><Relationship Id="rId10" Type="http://schemas.openxmlformats.org/officeDocument/2006/relationships/hyperlink" Target="https://doi.org/10.1016/j.joca.2019.09.008" TargetMode="External"/><Relationship Id="rId4" Type="http://schemas.openxmlformats.org/officeDocument/2006/relationships/hyperlink" Target="https://www.elibrary.ru/item.asp?id=25997994" TargetMode="External"/><Relationship Id="rId9" Type="http://schemas.openxmlformats.org/officeDocument/2006/relationships/hyperlink" Target="https://www.elibrary.ru/item.asp?id=36997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timoschkina.maiya@yandex.ru</dc:creator>
  <cp:keywords/>
  <dc:description/>
  <cp:lastModifiedBy>timoschkina.maiya@yandex.ru</cp:lastModifiedBy>
  <cp:revision>13</cp:revision>
  <dcterms:created xsi:type="dcterms:W3CDTF">2020-02-26T19:54:00Z</dcterms:created>
  <dcterms:modified xsi:type="dcterms:W3CDTF">2020-03-02T19:54:00Z</dcterms:modified>
</cp:coreProperties>
</file>