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E97" w:rsidRDefault="004360C2" w:rsidP="007F3550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Резюме.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Повреждение</w:t>
      </w:r>
      <w:r w:rsidRPr="006244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суставо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инициирует асептическое воспаление, которое, являясь самоподдерживающимся процессом, способствует прогрессирующей посттравматической деструкции тканей не только в патологическом очаге, но и за его пределами значительно расширяя зону дегенеративных изменений </w:t>
      </w:r>
      <w:r w:rsidRPr="003F07A9">
        <w:rPr>
          <w:rFonts w:ascii="Times New Roman" w:eastAsia="Calibri" w:hAnsi="Times New Roman" w:cs="Times New Roman"/>
          <w:sz w:val="28"/>
          <w:szCs w:val="28"/>
          <w:lang w:eastAsia="ru-RU"/>
        </w:rPr>
        <w:t>за счет вторичной альтерации.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D322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Одному из ведущих звеньев патогенеза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воспаления принадлежит секретируемым межклеточным медиаторам – цитокинам, формирующим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провоспалительный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потенциал клеток. П</w:t>
      </w:r>
      <w:r w:rsidRPr="008522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атогенетическая коррекция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цитокинового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дисбаланса, </w:t>
      </w:r>
      <w:r w:rsidRPr="008D3227">
        <w:rPr>
          <w:rFonts w:ascii="Times New Roman" w:eastAsia="Calibri" w:hAnsi="Times New Roman" w:cs="Times New Roman"/>
          <w:sz w:val="28"/>
          <w:szCs w:val="28"/>
          <w:lang w:eastAsia="ru-RU"/>
        </w:rPr>
        <w:t>в ранние сроки</w:t>
      </w:r>
      <w:r w:rsidRPr="008522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позволит ограничить площадь вторичной альтерации и активировать </w:t>
      </w:r>
      <w:proofErr w:type="spellStart"/>
      <w:r w:rsidRPr="008522B4">
        <w:rPr>
          <w:rFonts w:ascii="Times New Roman" w:eastAsia="Calibri" w:hAnsi="Times New Roman" w:cs="Times New Roman"/>
          <w:sz w:val="28"/>
          <w:szCs w:val="28"/>
          <w:lang w:eastAsia="ru-RU"/>
        </w:rPr>
        <w:t>репаративные</w:t>
      </w:r>
      <w:proofErr w:type="spellEnd"/>
      <w:r w:rsidRPr="008522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механизмы в очаге повреждения, что </w:t>
      </w:r>
      <w:r w:rsidRPr="008522B4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улучшит результаты восстановительного лечения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посттравматического артрита. Целью </w:t>
      </w:r>
      <w:r w:rsidRPr="00722BAC">
        <w:rPr>
          <w:rFonts w:ascii="Times New Roman" w:eastAsia="Calibri" w:hAnsi="Times New Roman" w:cs="Times New Roman"/>
          <w:sz w:val="28"/>
          <w:szCs w:val="28"/>
          <w:lang w:eastAsia="ru-RU"/>
        </w:rPr>
        <w:t>настояще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го</w:t>
      </w:r>
      <w:r w:rsidRPr="00722B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исследовани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я явилось изучить и оценить влияние </w:t>
      </w:r>
      <w:r w:rsidRPr="002834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внутривенной и внутрисуставной </w:t>
      </w:r>
      <w:proofErr w:type="spellStart"/>
      <w:r w:rsidRPr="00283491">
        <w:rPr>
          <w:rFonts w:ascii="Times New Roman" w:eastAsia="Calibri" w:hAnsi="Times New Roman" w:cs="Times New Roman"/>
          <w:sz w:val="28"/>
          <w:szCs w:val="28"/>
          <w:lang w:eastAsia="ru-RU"/>
        </w:rPr>
        <w:t>озонотерапии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сочетании с внутрисуставным введением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ксефокама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</w:t>
      </w:r>
      <w:r w:rsidRPr="00EB40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показатели </w:t>
      </w:r>
      <w:proofErr w:type="spellStart"/>
      <w:r w:rsidRPr="00EB4001">
        <w:rPr>
          <w:rFonts w:ascii="Times New Roman" w:eastAsia="Calibri" w:hAnsi="Times New Roman" w:cs="Times New Roman"/>
          <w:sz w:val="28"/>
          <w:szCs w:val="28"/>
          <w:lang w:eastAsia="ru-RU"/>
        </w:rPr>
        <w:t>цитокино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вой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сети у больных с </w:t>
      </w:r>
      <w:r w:rsidRPr="005A03E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посттравматическим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синовитом</w:t>
      </w:r>
      <w:proofErr w:type="spellEnd"/>
      <w:r w:rsidRPr="00EB400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Работа основывается </w:t>
      </w:r>
      <w:r>
        <w:rPr>
          <w:rFonts w:ascii="Times New Roman" w:hAnsi="Times New Roman" w:cs="Times New Roman"/>
          <w:sz w:val="28"/>
          <w:szCs w:val="28"/>
        </w:rPr>
        <w:t>на результатах</w:t>
      </w:r>
      <w:r w:rsidRPr="00B904C4">
        <w:rPr>
          <w:rFonts w:ascii="Times New Roman" w:hAnsi="Times New Roman" w:cs="Times New Roman"/>
          <w:sz w:val="28"/>
          <w:szCs w:val="28"/>
        </w:rPr>
        <w:t xml:space="preserve"> исследовани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904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лечения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69 больных </w:t>
      </w:r>
      <w:r w:rsidRPr="00EB40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травматическими </w:t>
      </w:r>
      <w:r w:rsidRPr="00EB40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повреждениями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коленного </w:t>
      </w:r>
      <w:r w:rsidRPr="00EB4001">
        <w:rPr>
          <w:rFonts w:ascii="Times New Roman" w:eastAsia="Calibri" w:hAnsi="Times New Roman" w:cs="Times New Roman"/>
          <w:sz w:val="28"/>
          <w:szCs w:val="28"/>
          <w:lang w:eastAsia="ru-RU"/>
        </w:rPr>
        <w:t>сустава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осложненными развитием посттравматического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синовита</w:t>
      </w:r>
      <w:proofErr w:type="spellEnd"/>
      <w:r w:rsidRPr="00EB400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Больные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 (35 человек) получали </w:t>
      </w:r>
      <w:r>
        <w:rPr>
          <w:rFonts w:ascii="Times New Roman" w:hAnsi="Times New Roman" w:cs="Times New Roman"/>
          <w:sz w:val="28"/>
          <w:szCs w:val="28"/>
        </w:rPr>
        <w:t xml:space="preserve">комплексное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традиционное лечение.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 пациентов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группы (34 больных) традиционная терапия дополнялась 10 дневным курсом</w:t>
      </w:r>
      <w:r w:rsidRPr="00816578">
        <w:rPr>
          <w:rFonts w:ascii="Times New Roman" w:hAnsi="Times New Roman" w:cs="Times New Roman"/>
          <w:sz w:val="28"/>
          <w:szCs w:val="28"/>
        </w:rPr>
        <w:t xml:space="preserve"> </w:t>
      </w:r>
      <w:r w:rsidRPr="008165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внутривенной инъекционной </w:t>
      </w:r>
      <w:proofErr w:type="spellStart"/>
      <w:r w:rsidRPr="00816578">
        <w:rPr>
          <w:rFonts w:ascii="Times New Roman" w:hAnsi="Times New Roman" w:cs="Times New Roman"/>
          <w:sz w:val="28"/>
          <w:szCs w:val="28"/>
          <w:shd w:val="clear" w:color="auto" w:fill="FFFFFF"/>
        </w:rPr>
        <w:t>озонотерапией</w:t>
      </w:r>
      <w:proofErr w:type="spellEnd"/>
      <w:r w:rsidRPr="00816578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200 мл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раствора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NaCl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концентрацией </w:t>
      </w:r>
      <w:r>
        <w:rPr>
          <w:rFonts w:ascii="Times New Roman" w:hAnsi="Times New Roman" w:cs="Times New Roman"/>
          <w:bCs/>
          <w:sz w:val="28"/>
          <w:szCs w:val="28"/>
        </w:rPr>
        <w:t>2,0 мг/л</w:t>
      </w:r>
      <w:r w:rsidRPr="0081657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ежедневно</w:t>
      </w:r>
      <w:r>
        <w:rPr>
          <w:rFonts w:ascii="Times New Roman" w:hAnsi="Times New Roman" w:cs="Times New Roman"/>
          <w:sz w:val="28"/>
          <w:szCs w:val="28"/>
        </w:rPr>
        <w:t xml:space="preserve"> и внутрисуставным введением озона концентрацией 5 мг/л в объеме 20 мл с интервалом через день, в количестве 5 процедур.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выполнения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артроскопии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производился проточно-промывной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лаваж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сустава озонированным </w:t>
      </w:r>
      <w:r w:rsidRPr="00DC347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раствором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NaCI</w:t>
      </w:r>
      <w:proofErr w:type="spellEnd"/>
      <w:r w:rsidRPr="0060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концентрации </w:t>
      </w:r>
      <w:r w:rsidRPr="00DC3470">
        <w:rPr>
          <w:rFonts w:ascii="Times New Roman" w:eastAsia="Times New Roman" w:hAnsi="Times New Roman" w:cs="Times New Roman"/>
          <w:sz w:val="28"/>
          <w:szCs w:val="28"/>
          <w:lang w:eastAsia="ru-RU"/>
        </w:rPr>
        <w:t>2,0 мг/л.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r w:rsidRPr="00D30FA2">
        <w:rPr>
          <w:rFonts w:ascii="Times New Roman" w:hAnsi="Times New Roman" w:cs="Times New Roman"/>
          <w:sz w:val="28"/>
          <w:szCs w:val="28"/>
        </w:rPr>
        <w:t>зонотерапи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сочеталась</w:t>
      </w:r>
      <w:r w:rsidRPr="00D30FA2">
        <w:rPr>
          <w:rFonts w:ascii="Times New Roman" w:hAnsi="Times New Roman" w:cs="Times New Roman"/>
          <w:sz w:val="28"/>
          <w:szCs w:val="28"/>
        </w:rPr>
        <w:t xml:space="preserve"> трехкратн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D30FA2">
        <w:rPr>
          <w:rFonts w:ascii="Times New Roman" w:hAnsi="Times New Roman" w:cs="Times New Roman"/>
          <w:sz w:val="28"/>
          <w:szCs w:val="28"/>
        </w:rPr>
        <w:t xml:space="preserve"> внутрисуставн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D30F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0FA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введением</w:t>
      </w:r>
      <w:proofErr w:type="spellEnd"/>
      <w:r w:rsidRPr="00D30F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0FA2">
        <w:rPr>
          <w:rFonts w:ascii="Times New Roman" w:hAnsi="Times New Roman" w:cs="Times New Roman"/>
          <w:sz w:val="28"/>
          <w:szCs w:val="28"/>
        </w:rPr>
        <w:t>ксефокам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D30FA2">
        <w:rPr>
          <w:rFonts w:ascii="Times New Roman" w:hAnsi="Times New Roman" w:cs="Times New Roman"/>
          <w:sz w:val="28"/>
          <w:szCs w:val="28"/>
        </w:rPr>
        <w:t xml:space="preserve"> в дозе 8мг, 1 раз в 4 дня.</w:t>
      </w:r>
      <w:r>
        <w:rPr>
          <w:rFonts w:ascii="Times New Roman" w:hAnsi="Times New Roman" w:cs="Times New Roman"/>
          <w:sz w:val="28"/>
          <w:szCs w:val="28"/>
        </w:rPr>
        <w:t xml:space="preserve"> На данную технологию лечения получен патент на изобретение (№ </w:t>
      </w:r>
      <w:r w:rsidRPr="00D30FA2">
        <w:rPr>
          <w:rFonts w:ascii="Times New Roman" w:hAnsi="Times New Roman" w:cs="Times New Roman"/>
          <w:sz w:val="28"/>
          <w:szCs w:val="28"/>
        </w:rPr>
        <w:t>2456988</w:t>
      </w:r>
      <w:r>
        <w:rPr>
          <w:rFonts w:ascii="Times New Roman" w:hAnsi="Times New Roman" w:cs="Times New Roman"/>
          <w:sz w:val="28"/>
          <w:szCs w:val="28"/>
        </w:rPr>
        <w:t xml:space="preserve"> от 27.07.12 г.). </w:t>
      </w:r>
      <w:proofErr w:type="spellStart"/>
      <w:r w:rsidRPr="00EB4001">
        <w:rPr>
          <w:rFonts w:ascii="Times New Roman" w:eastAsia="Calibri" w:hAnsi="Times New Roman" w:cs="Times New Roman"/>
          <w:sz w:val="28"/>
          <w:szCs w:val="28"/>
          <w:lang w:eastAsia="ru-RU"/>
        </w:rPr>
        <w:t>Цитокиновый</w:t>
      </w:r>
      <w:proofErr w:type="spellEnd"/>
      <w:r w:rsidRPr="00EB40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статус </w:t>
      </w:r>
      <w:r w:rsidRPr="008D3227">
        <w:rPr>
          <w:rFonts w:ascii="Times New Roman" w:eastAsia="Calibri" w:hAnsi="Times New Roman" w:cs="Times New Roman"/>
          <w:sz w:val="28"/>
          <w:szCs w:val="28"/>
          <w:lang w:eastAsia="ru-RU"/>
        </w:rPr>
        <w:t>пациентов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оценивалс</w:t>
      </w:r>
      <w:r w:rsidRPr="00EB40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я по содержанию </w:t>
      </w:r>
      <w:proofErr w:type="spellStart"/>
      <w:r w:rsidRPr="00EB4001">
        <w:rPr>
          <w:rFonts w:ascii="Times New Roman" w:eastAsia="Calibri" w:hAnsi="Times New Roman" w:cs="Times New Roman"/>
          <w:sz w:val="28"/>
          <w:szCs w:val="28"/>
          <w:lang w:eastAsia="ru-RU"/>
        </w:rPr>
        <w:t>провоспалительных</w:t>
      </w:r>
      <w:proofErr w:type="spellEnd"/>
      <w:r w:rsidRPr="00EB40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противовоспалительных цитокинов (TNF-α, IL-1β, IL-6, IL-17, IL-2, IL-4, IL-10</w:t>
      </w:r>
      <w:r w:rsidRPr="00ED39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</w:t>
      </w:r>
      <w:r w:rsidRPr="00EB4001">
        <w:rPr>
          <w:rFonts w:ascii="Times New Roman" w:eastAsia="Calibri" w:hAnsi="Times New Roman" w:cs="Times New Roman"/>
          <w:sz w:val="28"/>
          <w:szCs w:val="28"/>
          <w:lang w:eastAsia="ru-RU"/>
        </w:rPr>
        <w:t>рецепторного антагониста Ил-1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β</w:t>
      </w:r>
      <w:r w:rsidRPr="00EB40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методом твердофазного иммуноферментного анализа с индикаторной меткой в виде </w:t>
      </w:r>
      <w:proofErr w:type="spellStart"/>
      <w:r w:rsidRPr="00EB4001">
        <w:rPr>
          <w:rFonts w:ascii="Times New Roman" w:eastAsia="Calibri" w:hAnsi="Times New Roman" w:cs="Times New Roman"/>
          <w:sz w:val="28"/>
          <w:szCs w:val="28"/>
          <w:lang w:eastAsia="ru-RU"/>
        </w:rPr>
        <w:t>пероксидазы</w:t>
      </w:r>
      <w:proofErr w:type="spellEnd"/>
      <w:r w:rsidRPr="00EB40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Статистический анализ результатов проведен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посредством критерия Стьюдента.</w:t>
      </w:r>
      <w:r w:rsidRPr="008D78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Pr="008D78F1">
        <w:rPr>
          <w:rFonts w:ascii="Times New Roman" w:eastAsia="Calibri" w:hAnsi="Times New Roman" w:cs="Times New Roman"/>
          <w:sz w:val="28"/>
          <w:szCs w:val="28"/>
          <w:lang w:eastAsia="ru-RU"/>
        </w:rPr>
        <w:t>омплексн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ая</w:t>
      </w:r>
      <w:r w:rsidRPr="008D78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терапи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я, включающая внутривенную и внутрисуставную</w:t>
      </w:r>
      <w:r w:rsidRPr="008D78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78F1">
        <w:rPr>
          <w:rFonts w:ascii="Times New Roman" w:eastAsia="Calibri" w:hAnsi="Times New Roman" w:cs="Times New Roman"/>
          <w:sz w:val="28"/>
          <w:szCs w:val="28"/>
          <w:lang w:eastAsia="ru-RU"/>
        </w:rPr>
        <w:t>озонотерапи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ю</w:t>
      </w:r>
      <w:proofErr w:type="spellEnd"/>
      <w:r w:rsidRPr="008D78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сочетании с внутрисуставным введением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ксефокама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способствовала</w:t>
      </w:r>
      <w:r w:rsidRPr="008D78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ингибированию</w:t>
      </w:r>
      <w:r w:rsidRPr="008D78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воспалительной реакции, что отразилось в динамике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D78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депрессии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исследуемых цитокинов: </w:t>
      </w:r>
      <w:r w:rsidRPr="008D78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синхронному снижению уровня </w:t>
      </w:r>
      <w:proofErr w:type="spellStart"/>
      <w:r w:rsidRPr="008D78F1">
        <w:rPr>
          <w:rFonts w:ascii="Times New Roman" w:eastAsia="Calibri" w:hAnsi="Times New Roman" w:cs="Times New Roman"/>
          <w:sz w:val="28"/>
          <w:szCs w:val="28"/>
          <w:lang w:eastAsia="ru-RU"/>
        </w:rPr>
        <w:t>провоспалительных</w:t>
      </w:r>
      <w:proofErr w:type="spellEnd"/>
      <w:r w:rsidRPr="008D78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цитокинов одновременно с ограничением роста противовоспалительных медиаторов воспаления.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Итоговые замеры</w:t>
      </w:r>
      <w:r w:rsidRPr="00EB40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показали уменьшение содержания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провоспалительных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цитокинов: </w:t>
      </w:r>
      <w:r w:rsidRPr="00EB4001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TNF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-α </w:t>
      </w:r>
      <w:r w:rsidRPr="00EB40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24</w:t>
      </w:r>
      <w:r w:rsidRPr="000F3FC6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0F3F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% (</w:t>
      </w:r>
      <w:r w:rsidRPr="000F3FC6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p</w:t>
      </w:r>
      <w:r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>2</w:t>
      </w:r>
      <w:r w:rsidRPr="000F3FC6">
        <w:rPr>
          <w:rFonts w:ascii="Times New Roman" w:eastAsia="Calibri" w:hAnsi="Times New Roman" w:cs="Times New Roman"/>
          <w:sz w:val="28"/>
          <w:szCs w:val="28"/>
          <w:lang w:eastAsia="ru-RU"/>
        </w:rPr>
        <w:t>&lt;0,0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Pr="000F3FC6">
        <w:rPr>
          <w:rFonts w:ascii="Times New Roman" w:eastAsia="Calibri" w:hAnsi="Times New Roman" w:cs="Times New Roman"/>
          <w:sz w:val="28"/>
          <w:szCs w:val="28"/>
          <w:lang w:eastAsia="ru-RU"/>
        </w:rPr>
        <w:t>1)</w:t>
      </w:r>
      <w:r w:rsidRPr="00EB40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EB4001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IL</w:t>
      </w:r>
      <w:r w:rsidRPr="00EB4001">
        <w:rPr>
          <w:rFonts w:ascii="Times New Roman" w:eastAsia="Calibri" w:hAnsi="Times New Roman" w:cs="Times New Roman"/>
          <w:sz w:val="28"/>
          <w:szCs w:val="28"/>
          <w:lang w:eastAsia="ru-RU"/>
        </w:rPr>
        <w:t>-17 –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</w:t>
      </w:r>
      <w:r w:rsidRPr="00EB40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EB4001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EB40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% (</w:t>
      </w:r>
      <w:r w:rsidRPr="00EB4001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p</w:t>
      </w:r>
      <w:r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>2</w:t>
      </w:r>
      <w:r w:rsidRPr="00EB40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&lt;0,01), </w:t>
      </w:r>
      <w:r w:rsidRPr="00EB4001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IL</w:t>
      </w:r>
      <w:r w:rsidRPr="00EB40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-6 – на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20</w:t>
      </w:r>
      <w:r w:rsidRPr="00EB4001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EB40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% (</w:t>
      </w:r>
      <w:r w:rsidRPr="00EB4001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p</w:t>
      </w:r>
      <w:r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>2</w:t>
      </w:r>
      <w:r w:rsidRPr="00EB4001">
        <w:rPr>
          <w:rFonts w:ascii="Times New Roman" w:eastAsia="Calibri" w:hAnsi="Times New Roman" w:cs="Times New Roman"/>
          <w:sz w:val="28"/>
          <w:szCs w:val="28"/>
          <w:lang w:eastAsia="ru-RU"/>
        </w:rPr>
        <w:t>&lt;0,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Pr="00EB40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01), </w:t>
      </w:r>
      <w:r w:rsidRPr="00EB4001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IL</w:t>
      </w:r>
      <w:r w:rsidRPr="00EB40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-1β – на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19,1</w:t>
      </w:r>
      <w:r w:rsidRPr="000F3F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% (</w:t>
      </w:r>
      <w:r w:rsidRPr="000F3FC6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p</w:t>
      </w:r>
      <w:r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>2</w:t>
      </w:r>
      <w:r w:rsidRPr="000F3FC6">
        <w:rPr>
          <w:rFonts w:ascii="Times New Roman" w:eastAsia="Calibri" w:hAnsi="Times New Roman" w:cs="Times New Roman"/>
          <w:sz w:val="28"/>
          <w:szCs w:val="28"/>
          <w:lang w:eastAsia="ru-RU"/>
        </w:rPr>
        <w:t>&lt;0,0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Pr="000F3FC6">
        <w:rPr>
          <w:rFonts w:ascii="Times New Roman" w:eastAsia="Calibri" w:hAnsi="Times New Roman" w:cs="Times New Roman"/>
          <w:sz w:val="28"/>
          <w:szCs w:val="28"/>
          <w:lang w:eastAsia="ru-RU"/>
        </w:rPr>
        <w:t>1)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одновременным уменьшением регуляторного</w:t>
      </w:r>
      <w:r w:rsidRPr="00EB40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B4001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IL</w:t>
      </w:r>
      <w:r w:rsidRPr="00EB4001">
        <w:rPr>
          <w:rFonts w:ascii="Times New Roman" w:eastAsia="Calibri" w:hAnsi="Times New Roman" w:cs="Times New Roman"/>
          <w:sz w:val="28"/>
          <w:szCs w:val="28"/>
          <w:lang w:eastAsia="ru-RU"/>
        </w:rPr>
        <w:t>-2 – на 25,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EB40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% (</w:t>
      </w:r>
      <w:r w:rsidRPr="00EB4001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p</w:t>
      </w:r>
      <w:r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>2</w:t>
      </w:r>
      <w:r w:rsidRPr="00EB4001">
        <w:rPr>
          <w:rFonts w:ascii="Times New Roman" w:eastAsia="Calibri" w:hAnsi="Times New Roman" w:cs="Times New Roman"/>
          <w:sz w:val="28"/>
          <w:szCs w:val="28"/>
          <w:lang w:eastAsia="ru-RU"/>
        </w:rPr>
        <w:t>&lt;0,0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01</w:t>
      </w:r>
      <w:r w:rsidRPr="00EB4001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противовоспалительных цитокинов </w:t>
      </w:r>
      <w:r w:rsidRPr="00271573">
        <w:rPr>
          <w:rFonts w:ascii="Times New Roman" w:hAnsi="Times New Roman" w:cs="Times New Roman"/>
          <w:sz w:val="28"/>
          <w:szCs w:val="28"/>
          <w:lang w:val="en-US"/>
        </w:rPr>
        <w:t>IL</w:t>
      </w:r>
      <w:r w:rsidRPr="00271573">
        <w:rPr>
          <w:rFonts w:ascii="Times New Roman" w:hAnsi="Times New Roman" w:cs="Times New Roman"/>
          <w:sz w:val="28"/>
          <w:szCs w:val="28"/>
        </w:rPr>
        <w:t>-10</w:t>
      </w:r>
      <w:r w:rsidRPr="00C3432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на 21,3</w:t>
      </w:r>
      <w:r w:rsidRPr="000F3F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%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F3FC6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Pr="000F3FC6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p</w:t>
      </w:r>
      <w:r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>2</w:t>
      </w:r>
      <w:r w:rsidRPr="000F3FC6">
        <w:rPr>
          <w:rFonts w:ascii="Times New Roman" w:eastAsia="Calibri" w:hAnsi="Times New Roman" w:cs="Times New Roman"/>
          <w:sz w:val="28"/>
          <w:szCs w:val="28"/>
          <w:lang w:eastAsia="ru-RU"/>
        </w:rPr>
        <w:t>&lt;0,0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Pr="000F3FC6">
        <w:rPr>
          <w:rFonts w:ascii="Times New Roman" w:eastAsia="Calibri" w:hAnsi="Times New Roman" w:cs="Times New Roman"/>
          <w:sz w:val="28"/>
          <w:szCs w:val="28"/>
          <w:lang w:eastAsia="ru-RU"/>
        </w:rPr>
        <w:t>1)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EB4001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IL</w:t>
      </w:r>
      <w:r w:rsidRPr="00EB40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-4 – на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25</w:t>
      </w:r>
      <w:r w:rsidRPr="00EB4001">
        <w:rPr>
          <w:rFonts w:ascii="Times New Roman" w:eastAsia="Calibri" w:hAnsi="Times New Roman" w:cs="Times New Roman"/>
          <w:sz w:val="28"/>
          <w:szCs w:val="28"/>
          <w:lang w:eastAsia="ru-RU"/>
        </w:rPr>
        <w:t>,7 % (</w:t>
      </w:r>
      <w:r w:rsidRPr="00EB4001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p</w:t>
      </w:r>
      <w:r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>2</w:t>
      </w:r>
      <w:r w:rsidRPr="00EB4001">
        <w:rPr>
          <w:rFonts w:ascii="Times New Roman" w:eastAsia="Calibri" w:hAnsi="Times New Roman" w:cs="Times New Roman"/>
          <w:sz w:val="28"/>
          <w:szCs w:val="28"/>
          <w:lang w:eastAsia="ru-RU"/>
        </w:rPr>
        <w:t>&lt;0,0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01</w:t>
      </w:r>
      <w:r w:rsidRPr="00EB4001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0F3FC6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IL</w:t>
      </w:r>
      <w:r w:rsidRPr="000F3FC6">
        <w:rPr>
          <w:rFonts w:ascii="Times New Roman" w:eastAsia="Calibri" w:hAnsi="Times New Roman" w:cs="Times New Roman"/>
          <w:sz w:val="28"/>
          <w:szCs w:val="28"/>
          <w:lang w:eastAsia="ru-RU"/>
        </w:rPr>
        <w:t>-1</w:t>
      </w:r>
      <w:r w:rsidRPr="000F3FC6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R</w:t>
      </w:r>
      <w:r w:rsidRPr="000F3FC6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BC5A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на 24,4</w:t>
      </w:r>
      <w:r w:rsidRPr="000F3F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% (</w:t>
      </w:r>
      <w:r w:rsidRPr="000F3FC6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p</w:t>
      </w:r>
      <w:r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&lt;0,001), по отношению к данным, полученным при традиционном лечении. </w:t>
      </w:r>
      <w:r w:rsidRPr="00EB40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Данные результаты позволяют оценивать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этот</w:t>
      </w:r>
      <w:r w:rsidRPr="00EB40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метод как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высоко </w:t>
      </w:r>
      <w:r w:rsidRPr="00EB40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эффективный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Pr="00EB4001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лечени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EB40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посттравматического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синовита</w:t>
      </w:r>
      <w:proofErr w:type="spellEnd"/>
      <w:r w:rsidRPr="00EB40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который </w:t>
      </w:r>
      <w:r w:rsidRPr="00EB4001">
        <w:rPr>
          <w:rFonts w:ascii="Times New Roman" w:eastAsia="Calibri" w:hAnsi="Times New Roman" w:cs="Times New Roman"/>
          <w:sz w:val="28"/>
          <w:szCs w:val="28"/>
          <w:lang w:eastAsia="ru-RU"/>
        </w:rPr>
        <w:t>позволя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ет значительно</w:t>
      </w:r>
      <w:r w:rsidRPr="00EB40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уменьшить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вторичную </w:t>
      </w:r>
      <w:r w:rsidRPr="00EB4001">
        <w:rPr>
          <w:rFonts w:ascii="Times New Roman" w:eastAsia="Calibri" w:hAnsi="Times New Roman" w:cs="Times New Roman"/>
          <w:sz w:val="28"/>
          <w:szCs w:val="28"/>
          <w:lang w:eastAsia="ru-RU"/>
        </w:rPr>
        <w:t>посттравматическую альтерацию тканевых структур.</w:t>
      </w:r>
    </w:p>
    <w:p w:rsidR="004360C2" w:rsidRDefault="004360C2" w:rsidP="007F3550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360C2" w:rsidRPr="004360C2" w:rsidRDefault="004360C2" w:rsidP="007F3550">
      <w:pPr>
        <w:spacing w:line="240" w:lineRule="auto"/>
        <w:rPr>
          <w:lang w:val="en-US"/>
        </w:rPr>
      </w:pPr>
      <w:r w:rsidRPr="0034269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en-US" w:eastAsia="ru-RU"/>
        </w:rPr>
        <w:t>Abstract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. </w:t>
      </w:r>
      <w:r w:rsidRPr="0095196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>Joint damage initiates aseptic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95196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>self-sustaining inflammation, which contribu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>tes the progression of</w:t>
      </w:r>
      <w:r w:rsidRPr="0095196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 xml:space="preserve"> post-traumatic destruction of tissues not only in the pathological focus, but also outside it, significantly expanding the zone of degenerative changes due to secondary alterations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>.</w:t>
      </w:r>
      <w:r w:rsidRPr="0095196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F818E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 xml:space="preserve">One of the leading roles in the pathogenesis of inflammation belongs to secreted mediators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>–</w:t>
      </w:r>
      <w:r w:rsidRPr="00F818E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 xml:space="preserve">cytokines that impart to the cells the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>proinflammatory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 xml:space="preserve"> potential. </w:t>
      </w:r>
      <w:proofErr w:type="spellStart"/>
      <w:r w:rsidRPr="0063488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>Pathog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>enetic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 xml:space="preserve"> correction of cytokine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>disbalance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 xml:space="preserve"> permits to limit </w:t>
      </w:r>
      <w:r w:rsidRPr="0063488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>the area of seco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>ndary alterations and activate</w:t>
      </w:r>
      <w:r w:rsidRPr="0063488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 xml:space="preserve"> reparative mechanisms in the l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>esion from the first terms, which could</w:t>
      </w:r>
      <w:r w:rsidRPr="0063488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 xml:space="preserve"> improve the results of rehabilitation treatment of post-traumatic arthritis.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7747B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 xml:space="preserve">The purpose of this study was to study and evaluate the effect of intravenous and </w:t>
      </w:r>
      <w:proofErr w:type="spellStart"/>
      <w:r w:rsidRPr="007747B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>intraarticular</w:t>
      </w:r>
      <w:proofErr w:type="spellEnd"/>
      <w:r w:rsidRPr="007747B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 xml:space="preserve"> ozone therapy in combination wi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 xml:space="preserve">th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>intraarticular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 xml:space="preserve"> injections</w:t>
      </w:r>
      <w:r w:rsidRPr="007747B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 xml:space="preserve"> of NSAIDs - </w:t>
      </w:r>
      <w:proofErr w:type="spellStart"/>
      <w:r w:rsidRPr="007747B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>xefocam</w:t>
      </w:r>
      <w:proofErr w:type="spellEnd"/>
      <w:r w:rsidRPr="007747B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 xml:space="preserve"> on cytokine network parameters in patients with posttraumatic synovitis.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D95D1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>The work is based on the results of research and treatment of 69 patients with traumatic injuries of the knee joint, complicated by the development of post-traumatic synovitis.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FD248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>Patients</w:t>
      </w:r>
      <w:r w:rsidRPr="00CC3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FD248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>of</w:t>
      </w:r>
      <w:r w:rsidRPr="00CC3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FD248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>group</w:t>
      </w:r>
      <w:r w:rsidRPr="00CC3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FD248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>I</w:t>
      </w:r>
      <w:r w:rsidRPr="00CC3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 xml:space="preserve"> (35 </w:t>
      </w:r>
      <w:r w:rsidRPr="00FD248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>patients</w:t>
      </w:r>
      <w:r w:rsidRPr="00CC3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 xml:space="preserve">) </w:t>
      </w:r>
      <w:r w:rsidRPr="00FD248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>received</w:t>
      </w:r>
      <w:r w:rsidRPr="00CC3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FD248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>traditional</w:t>
      </w:r>
      <w:r w:rsidRPr="00CC3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FD248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>complex</w:t>
      </w:r>
      <w:r w:rsidRPr="00CC3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FD248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>treatment</w:t>
      </w:r>
      <w:r w:rsidRPr="00CC3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 xml:space="preserve">.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>In group II</w:t>
      </w:r>
      <w:r w:rsidRPr="00FD248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 xml:space="preserve"> (34 patients), traditional therapy was supplemented with a 10-day course of intravenous injectable ozone therapy with 200 ml of </w:t>
      </w:r>
      <w:proofErr w:type="spellStart"/>
      <w:r w:rsidRPr="00FD248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>NaCl</w:t>
      </w:r>
      <w:proofErr w:type="spellEnd"/>
      <w:r w:rsidRPr="00FD248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 xml:space="preserve"> solution at a concentration of 2.0 mg/l daily and intra-articular ozone injection at a concentration of 5 mg/l i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>n a volume of 20 ml in a day 5 times</w:t>
      </w:r>
      <w:r w:rsidRPr="00FD248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>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2C751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 xml:space="preserve">During arthroscopy, lavage of the joint cavity was performed with </w:t>
      </w:r>
      <w:proofErr w:type="spellStart"/>
      <w:r w:rsidRPr="002C751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>ozonated</w:t>
      </w:r>
      <w:proofErr w:type="spellEnd"/>
      <w:r w:rsidRPr="002C751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 xml:space="preserve"> saline solution at a concentration of 2.0 mg/l.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2C751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>Ozone therapy was combined with thre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>e intra-articular injections</w:t>
      </w:r>
      <w:r w:rsidRPr="002C751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 xml:space="preserve"> of </w:t>
      </w:r>
      <w:proofErr w:type="spellStart"/>
      <w:r w:rsidRPr="002C751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>xefocam</w:t>
      </w:r>
      <w:proofErr w:type="spellEnd"/>
      <w:r w:rsidRPr="002C751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 xml:space="preserve"> at a dose of 8 mg, once every 4 days.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F4346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>A patent for the</w:t>
      </w:r>
      <w:bookmarkStart w:id="0" w:name="_GoBack"/>
      <w:bookmarkEnd w:id="0"/>
      <w:r w:rsidRPr="00F4346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 xml:space="preserve"> invention was obtained for this treatment technology (No. 2456988 of 27.07.12).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F4346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>The cytokine profile was evaluated by the content of Pro-inflammatory (TNF-α, IL-1β, IL-6, IL-17), regulatory (IL-2), Il-1 receptor antagonist, and anti-inflammatory (IL-4, IL-10) cytokines by solid-phase enzyme immunoassay with an indicator label in the form of peroxidase.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B543D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>Statistical analysis of the results was carried out using the Student criterion.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B543D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 xml:space="preserve">Combined therapy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 xml:space="preserve">of </w:t>
      </w:r>
      <w:r w:rsidRPr="00B543D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 xml:space="preserve">intravenous and intra-articular ozone therapy in combination with intra-articular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 xml:space="preserve">injections </w:t>
      </w:r>
      <w:r w:rsidRPr="00B543D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 xml:space="preserve">of </w:t>
      </w:r>
      <w:proofErr w:type="spellStart"/>
      <w:r w:rsidRPr="00B543D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>xefocam</w:t>
      </w:r>
      <w:proofErr w:type="spellEnd"/>
      <w:r w:rsidRPr="00B543D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 xml:space="preserve"> contributed to the inhibition of the inflammatory response, which is reflected in the dynamics of depression of the studied cytokines: simultaneous reductio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 xml:space="preserve">n of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>proinflammatory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 xml:space="preserve"> cytokines </w:t>
      </w:r>
      <w:r w:rsidRPr="00B543D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>with the limitation of the growth of anti-inflammatory mediators of inflammation.</w:t>
      </w:r>
      <w:r w:rsidRPr="00702B0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 xml:space="preserve"> The final measurements showed a decrease in the content of </w:t>
      </w:r>
      <w:proofErr w:type="spellStart"/>
      <w:r w:rsidRPr="00702B0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>proinflammatory</w:t>
      </w:r>
      <w:proofErr w:type="spellEnd"/>
      <w:r w:rsidRPr="00702B0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 xml:space="preserve"> cytokines: TNF-</w:t>
      </w:r>
      <w:r w:rsidRPr="00702B0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α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 xml:space="preserve"> by 24.6 % (</w:t>
      </w:r>
      <w:r w:rsidRPr="005775E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>p</w:t>
      </w:r>
      <w:r w:rsidRPr="005775E2">
        <w:rPr>
          <w:rFonts w:ascii="Times New Roman" w:eastAsia="Calibri" w:hAnsi="Times New Roman" w:cs="Times New Roman"/>
          <w:color w:val="000000" w:themeColor="text1"/>
          <w:sz w:val="28"/>
          <w:szCs w:val="28"/>
          <w:vertAlign w:val="subscript"/>
          <w:lang w:val="en-US" w:eastAsia="ru-RU"/>
        </w:rPr>
        <w:t>2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>&lt;0.001), IL-17 - by 17.3 % (</w:t>
      </w:r>
      <w:r w:rsidRPr="005775E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>p</w:t>
      </w:r>
      <w:r w:rsidRPr="005775E2">
        <w:rPr>
          <w:rFonts w:ascii="Times New Roman" w:eastAsia="Calibri" w:hAnsi="Times New Roman" w:cs="Times New Roman"/>
          <w:color w:val="000000" w:themeColor="text1"/>
          <w:sz w:val="28"/>
          <w:szCs w:val="28"/>
          <w:vertAlign w:val="subscript"/>
          <w:lang w:val="en-US" w:eastAsia="ru-RU"/>
        </w:rPr>
        <w:t>2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>&lt;0.01), IL-6 - by 20.1 % (</w:t>
      </w:r>
      <w:r w:rsidRPr="005775E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>p</w:t>
      </w:r>
      <w:r w:rsidRPr="005775E2">
        <w:rPr>
          <w:rFonts w:ascii="Times New Roman" w:eastAsia="Calibri" w:hAnsi="Times New Roman" w:cs="Times New Roman"/>
          <w:color w:val="000000" w:themeColor="text1"/>
          <w:sz w:val="28"/>
          <w:szCs w:val="28"/>
          <w:vertAlign w:val="subscript"/>
          <w:lang w:val="en-US" w:eastAsia="ru-RU"/>
        </w:rPr>
        <w:t>2</w:t>
      </w:r>
      <w:r w:rsidRPr="00702B0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>&lt;0.001), IL-1</w:t>
      </w:r>
      <w:r w:rsidRPr="00702B0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β</w:t>
      </w:r>
      <w:r w:rsidRPr="00702B0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 xml:space="preserve"> - by 19.1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>% (</w:t>
      </w:r>
      <w:r w:rsidRPr="005775E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>p</w:t>
      </w:r>
      <w:r w:rsidRPr="005775E2">
        <w:rPr>
          <w:rFonts w:ascii="Times New Roman" w:eastAsia="Calibri" w:hAnsi="Times New Roman" w:cs="Times New Roman"/>
          <w:color w:val="000000" w:themeColor="text1"/>
          <w:sz w:val="28"/>
          <w:szCs w:val="28"/>
          <w:vertAlign w:val="subscript"/>
          <w:lang w:val="en-US" w:eastAsia="ru-RU"/>
        </w:rPr>
        <w:t>2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 xml:space="preserve">&lt;0.001) with a </w:t>
      </w:r>
      <w:r w:rsidRPr="00702B0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>decrease in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 xml:space="preserve"> regulatory IL-2 - by 25.7 % (</w:t>
      </w:r>
      <w:r w:rsidRPr="005775E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>p</w:t>
      </w:r>
      <w:r w:rsidRPr="005775E2">
        <w:rPr>
          <w:rFonts w:ascii="Times New Roman" w:eastAsia="Calibri" w:hAnsi="Times New Roman" w:cs="Times New Roman"/>
          <w:color w:val="000000" w:themeColor="text1"/>
          <w:sz w:val="28"/>
          <w:szCs w:val="28"/>
          <w:vertAlign w:val="subscript"/>
          <w:lang w:val="en-US" w:eastAsia="ru-RU"/>
        </w:rPr>
        <w:t>2</w:t>
      </w:r>
      <w:r w:rsidRPr="00702B0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 xml:space="preserve">&lt;0.001) and anti-inflammatory cytokines IL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>–</w:t>
      </w:r>
      <w:r w:rsidRPr="00702B0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 xml:space="preserve"> 10 - by 21.3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 xml:space="preserve"> % (</w:t>
      </w:r>
      <w:r w:rsidRPr="005775E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>p</w:t>
      </w:r>
      <w:r w:rsidRPr="005775E2">
        <w:rPr>
          <w:rFonts w:ascii="Times New Roman" w:eastAsia="Calibri" w:hAnsi="Times New Roman" w:cs="Times New Roman"/>
          <w:color w:val="000000" w:themeColor="text1"/>
          <w:sz w:val="28"/>
          <w:szCs w:val="28"/>
          <w:vertAlign w:val="subscript"/>
          <w:lang w:val="en-US" w:eastAsia="ru-RU"/>
        </w:rPr>
        <w:t>2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>&lt;0.001), Il - 4-by 25.7 % (</w:t>
      </w:r>
      <w:r w:rsidRPr="005775E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>p</w:t>
      </w:r>
      <w:r w:rsidRPr="005775E2">
        <w:rPr>
          <w:rFonts w:ascii="Times New Roman" w:eastAsia="Calibri" w:hAnsi="Times New Roman" w:cs="Times New Roman"/>
          <w:color w:val="000000" w:themeColor="text1"/>
          <w:sz w:val="28"/>
          <w:szCs w:val="28"/>
          <w:vertAlign w:val="subscript"/>
          <w:lang w:val="en-US" w:eastAsia="ru-RU"/>
        </w:rPr>
        <w:t>2</w:t>
      </w:r>
      <w:r w:rsidRPr="00702B0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>&lt;0.001), IL - 1Ra</w:t>
      </w:r>
      <w:r w:rsidRPr="001B02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702B0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>-</w:t>
      </w:r>
      <w:r w:rsidRPr="001B029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>by 24.4 % (</w:t>
      </w:r>
      <w:r w:rsidRPr="005775E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>p</w:t>
      </w:r>
      <w:r w:rsidRPr="005775E2">
        <w:rPr>
          <w:rFonts w:ascii="Times New Roman" w:eastAsia="Calibri" w:hAnsi="Times New Roman" w:cs="Times New Roman"/>
          <w:color w:val="000000" w:themeColor="text1"/>
          <w:sz w:val="28"/>
          <w:szCs w:val="28"/>
          <w:vertAlign w:val="subscript"/>
          <w:lang w:val="en-US" w:eastAsia="ru-RU"/>
        </w:rPr>
        <w:t>2</w:t>
      </w:r>
      <w:r w:rsidRPr="00702B0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>&lt;0.001), in relation to data obtained with traditional treatment.</w:t>
      </w:r>
      <w:r w:rsidRPr="002800A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 xml:space="preserve"> These results allow us to evaluate it as an effective treatment method for post-traumatic arthritis which reduces secondary posttraumatic alteration of tissue structures effectively.</w:t>
      </w:r>
    </w:p>
    <w:sectPr w:rsidR="004360C2" w:rsidRPr="004360C2" w:rsidSect="00996A1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FCD"/>
    <w:rsid w:val="000C502A"/>
    <w:rsid w:val="004360C2"/>
    <w:rsid w:val="006A4E97"/>
    <w:rsid w:val="007F3550"/>
    <w:rsid w:val="00996A1E"/>
    <w:rsid w:val="00EC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019470-CA0D-43D0-A315-8E8A57BD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748</Words>
  <Characters>5670</Characters>
  <Application>Microsoft Office Word</Application>
  <DocSecurity>0</DocSecurity>
  <Lines>97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timoschkina.maiya@yandex.ru</dc:creator>
  <cp:keywords/>
  <dc:description/>
  <cp:lastModifiedBy>timoschkina.maiya@yandex.ru</cp:lastModifiedBy>
  <cp:revision>5</cp:revision>
  <dcterms:created xsi:type="dcterms:W3CDTF">2020-02-26T19:39:00Z</dcterms:created>
  <dcterms:modified xsi:type="dcterms:W3CDTF">2020-02-26T19:46:00Z</dcterms:modified>
</cp:coreProperties>
</file>