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83" w:rsidRPr="00A11F2D" w:rsidRDefault="00C73A83" w:rsidP="00C73A83">
      <w:pPr>
        <w:pStyle w:val="Default"/>
        <w:suppressAutoHyphens w:val="0"/>
        <w:autoSpaceDE w:val="0"/>
        <w:ind w:firstLine="284"/>
        <w:jc w:val="center"/>
        <w:rPr>
          <w:rFonts w:eastAsia="TimesNewRomanPS-BoldMT-Identity" w:cs="Times New Roman"/>
          <w:b/>
          <w:bCs/>
          <w:lang w:eastAsia="ru-RU"/>
        </w:rPr>
      </w:pPr>
      <w:r w:rsidRPr="003B528D">
        <w:rPr>
          <w:rFonts w:eastAsia="TimesNewRomanPS-BoldMT-Identity" w:cs="Times New Roman"/>
          <w:b/>
          <w:bCs/>
          <w:lang w:eastAsia="ru-RU"/>
        </w:rPr>
        <w:t>Список литературы</w:t>
      </w:r>
    </w:p>
    <w:p w:rsidR="00A11F2D" w:rsidRDefault="00A11F2D" w:rsidP="00C73A83">
      <w:pPr>
        <w:pStyle w:val="Default"/>
        <w:suppressAutoHyphens w:val="0"/>
        <w:autoSpaceDE w:val="0"/>
        <w:ind w:firstLine="284"/>
        <w:jc w:val="center"/>
        <w:rPr>
          <w:rFonts w:eastAsia="TimesNewRomanPS-BoldMT-Identity" w:cs="Times New Roman"/>
          <w:b/>
          <w:bCs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322"/>
      </w:tblGrid>
      <w:tr w:rsidR="00083EAE" w:rsidRPr="00A11F2D" w:rsidTr="00083EAE">
        <w:tc>
          <w:tcPr>
            <w:tcW w:w="9322" w:type="dxa"/>
          </w:tcPr>
          <w:p w:rsidR="00083EAE" w:rsidRPr="00A11F2D" w:rsidRDefault="008825C8" w:rsidP="00114105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rFonts w:eastAsia="TimesNewRomanPS-BoldMT"/>
                <w:bCs/>
                <w:sz w:val="24"/>
                <w:szCs w:val="24"/>
              </w:rPr>
              <w:t xml:space="preserve">1. </w:t>
            </w:r>
            <w:proofErr w:type="spellStart"/>
            <w:r w:rsidR="00083EAE">
              <w:rPr>
                <w:rFonts w:eastAsia="TimesNewRomanPS-BoldMT"/>
                <w:bCs/>
                <w:sz w:val="24"/>
                <w:szCs w:val="24"/>
              </w:rPr>
              <w:t>Афонасьева</w:t>
            </w:r>
            <w:proofErr w:type="spellEnd"/>
            <w:r w:rsidR="00083EAE">
              <w:rPr>
                <w:rFonts w:eastAsia="TimesNewRomanPS-BoldMT"/>
                <w:bCs/>
                <w:sz w:val="24"/>
                <w:szCs w:val="24"/>
              </w:rPr>
              <w:t xml:space="preserve"> Т.М.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Эндотелиальная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дисфункция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 xml:space="preserve">.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Возможности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ранней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диагностики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 xml:space="preserve"> // </w:t>
            </w:r>
            <w:r w:rsidR="00083EAE">
              <w:rPr>
                <w:rFonts w:eastAsia="TimesNewRomanPS-BoldMT"/>
                <w:bCs/>
                <w:sz w:val="24"/>
                <w:szCs w:val="24"/>
              </w:rPr>
              <w:t>Журнал научных статей «Здоровье и образование в  веке»</w:t>
            </w:r>
            <w:r w:rsidR="00083EAE" w:rsidRPr="00C70809">
              <w:rPr>
                <w:bCs/>
                <w:iCs/>
                <w:sz w:val="24"/>
                <w:szCs w:val="24"/>
              </w:rPr>
              <w:t>. - 2016.</w:t>
            </w:r>
            <w:r w:rsidR="00083EAE">
              <w:rPr>
                <w:bCs/>
                <w:iCs/>
                <w:sz w:val="24"/>
                <w:szCs w:val="24"/>
              </w:rPr>
              <w:t>-</w:t>
            </w:r>
            <w:r w:rsidR="00083EAE" w:rsidRPr="00C70809">
              <w:rPr>
                <w:bCs/>
                <w:iCs/>
                <w:sz w:val="24"/>
                <w:szCs w:val="24"/>
              </w:rPr>
              <w:t xml:space="preserve"> </w:t>
            </w:r>
            <w:r w:rsidR="00083EAE">
              <w:rPr>
                <w:bCs/>
                <w:iCs/>
                <w:sz w:val="24"/>
                <w:szCs w:val="24"/>
              </w:rPr>
              <w:t>№</w:t>
            </w:r>
            <w:r w:rsidR="00083EAE" w:rsidRPr="00C70809">
              <w:rPr>
                <w:bCs/>
                <w:iCs/>
                <w:sz w:val="24"/>
                <w:szCs w:val="24"/>
              </w:rPr>
              <w:t xml:space="preserve"> 11.</w:t>
            </w:r>
            <w:r w:rsidR="00083EAE">
              <w:rPr>
                <w:bCs/>
                <w:iCs/>
                <w:sz w:val="24"/>
                <w:szCs w:val="24"/>
              </w:rPr>
              <w:t>-</w:t>
            </w:r>
            <w:r w:rsidR="00083EAE" w:rsidRPr="00C7080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083EAE" w:rsidRPr="00A11F2D">
              <w:rPr>
                <w:bCs/>
                <w:iCs/>
                <w:sz w:val="24"/>
                <w:szCs w:val="24"/>
              </w:rPr>
              <w:t>С</w:t>
            </w:r>
            <w:r w:rsidR="00083EAE" w:rsidRPr="00C70809">
              <w:rPr>
                <w:bCs/>
                <w:iCs/>
                <w:sz w:val="24"/>
                <w:szCs w:val="24"/>
              </w:rPr>
              <w:t>.101-104.</w:t>
            </w:r>
          </w:p>
        </w:tc>
      </w:tr>
      <w:tr w:rsidR="00083EAE" w:rsidRPr="00083EAE" w:rsidTr="00083EAE">
        <w:tc>
          <w:tcPr>
            <w:tcW w:w="9322" w:type="dxa"/>
          </w:tcPr>
          <w:p w:rsidR="00083EAE" w:rsidRPr="00083EAE" w:rsidRDefault="008825C8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2.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Беспалова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И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Д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Рязанцева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Н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В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Калюжин</w:t>
            </w:r>
            <w:proofErr w:type="spellEnd"/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В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В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Мурашев</w:t>
            </w:r>
            <w:proofErr w:type="spellEnd"/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Б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Ю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Осихов</w:t>
            </w:r>
            <w:proofErr w:type="spellEnd"/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И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А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Медянцев</w:t>
            </w:r>
            <w:proofErr w:type="spellEnd"/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Ю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А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Афанасьева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Д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С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Субпопуляции</w:t>
            </w:r>
            <w:proofErr w:type="spellEnd"/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и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метаболическая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активность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мононуклеаров</w:t>
            </w:r>
            <w:proofErr w:type="spellEnd"/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крови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при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метаболическом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>синдроме</w:t>
            </w:r>
            <w:r w:rsidR="00083EAE" w:rsidRPr="0060318F">
              <w:rPr>
                <w:bCs/>
                <w:sz w:val="24"/>
                <w:szCs w:val="24"/>
                <w:lang w:eastAsia="ru-RU"/>
              </w:rPr>
              <w:t xml:space="preserve"> // </w:t>
            </w:r>
            <w:r w:rsidR="00083EAE" w:rsidRPr="00A11F2D">
              <w:rPr>
                <w:iCs/>
                <w:sz w:val="24"/>
                <w:szCs w:val="24"/>
                <w:lang w:eastAsia="ru-RU"/>
              </w:rPr>
              <w:t>Медицинская</w:t>
            </w:r>
            <w:r w:rsidR="00083EAE" w:rsidRPr="0060318F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iCs/>
                <w:sz w:val="24"/>
                <w:szCs w:val="24"/>
                <w:lang w:eastAsia="ru-RU"/>
              </w:rPr>
              <w:t>иммунология</w:t>
            </w:r>
            <w:r w:rsidR="00083EAE" w:rsidRPr="0060318F">
              <w:rPr>
                <w:iCs/>
                <w:sz w:val="24"/>
                <w:szCs w:val="24"/>
                <w:lang w:eastAsia="ru-RU"/>
              </w:rPr>
              <w:t xml:space="preserve">. – 2014.- </w:t>
            </w:r>
            <w:r w:rsidR="00083EAE" w:rsidRPr="00A11F2D">
              <w:rPr>
                <w:iCs/>
                <w:sz w:val="24"/>
                <w:szCs w:val="24"/>
                <w:lang w:eastAsia="ru-RU"/>
              </w:rPr>
              <w:t>Т</w:t>
            </w:r>
            <w:r w:rsidR="00083EAE" w:rsidRPr="00C70809">
              <w:rPr>
                <w:iCs/>
                <w:sz w:val="24"/>
                <w:szCs w:val="24"/>
                <w:lang w:eastAsia="ru-RU"/>
              </w:rPr>
              <w:t xml:space="preserve">. 16, № 4.- </w:t>
            </w:r>
            <w:r w:rsidR="00083EAE" w:rsidRPr="00A11F2D">
              <w:rPr>
                <w:iCs/>
                <w:sz w:val="24"/>
                <w:szCs w:val="24"/>
                <w:lang w:eastAsia="ru-RU"/>
              </w:rPr>
              <w:t>С</w:t>
            </w:r>
            <w:r w:rsidR="00083EAE" w:rsidRPr="00083EAE">
              <w:rPr>
                <w:iCs/>
                <w:sz w:val="24"/>
                <w:szCs w:val="24"/>
                <w:lang w:eastAsia="ru-RU"/>
              </w:rPr>
              <w:t>. 345-352.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 xml:space="preserve">3. </w:t>
            </w:r>
            <w:proofErr w:type="spellStart"/>
            <w:r w:rsidR="00083EAE" w:rsidRPr="00A11F2D">
              <w:rPr>
                <w:rFonts w:eastAsia="ArialMT"/>
                <w:sz w:val="24"/>
                <w:szCs w:val="24"/>
              </w:rPr>
              <w:t>Бигаева</w:t>
            </w:r>
            <w:proofErr w:type="spellEnd"/>
            <w:r w:rsidR="00083EAE" w:rsidRPr="00A11F2D">
              <w:rPr>
                <w:rFonts w:eastAsia="ArialMT"/>
                <w:sz w:val="24"/>
                <w:szCs w:val="24"/>
              </w:rPr>
              <w:t xml:space="preserve"> Д.У., </w:t>
            </w:r>
            <w:proofErr w:type="spellStart"/>
            <w:r w:rsidR="00083EAE" w:rsidRPr="00A11F2D">
              <w:rPr>
                <w:rFonts w:eastAsia="ArialMT"/>
                <w:sz w:val="24"/>
                <w:szCs w:val="24"/>
              </w:rPr>
              <w:t>Даурова</w:t>
            </w:r>
            <w:proofErr w:type="spellEnd"/>
            <w:r w:rsidR="00083EAE" w:rsidRPr="00A11F2D">
              <w:rPr>
                <w:rFonts w:eastAsia="ArialMT"/>
                <w:sz w:val="24"/>
                <w:szCs w:val="24"/>
              </w:rPr>
              <w:t xml:space="preserve"> М.Д., </w:t>
            </w:r>
            <w:proofErr w:type="spellStart"/>
            <w:r w:rsidR="00083EAE" w:rsidRPr="00A11F2D">
              <w:rPr>
                <w:rFonts w:eastAsia="ArialMT"/>
                <w:sz w:val="24"/>
                <w:szCs w:val="24"/>
              </w:rPr>
              <w:t>Гатагонова</w:t>
            </w:r>
            <w:proofErr w:type="spellEnd"/>
            <w:r w:rsidR="00083EAE" w:rsidRPr="00A11F2D">
              <w:rPr>
                <w:rFonts w:eastAsia="ArialMT"/>
                <w:sz w:val="24"/>
                <w:szCs w:val="24"/>
              </w:rPr>
              <w:t xml:space="preserve"> Т.М., </w:t>
            </w:r>
            <w:proofErr w:type="spellStart"/>
            <w:r w:rsidR="00083EAE" w:rsidRPr="00A11F2D">
              <w:rPr>
                <w:rFonts w:eastAsia="ArialMT"/>
                <w:sz w:val="24"/>
                <w:szCs w:val="24"/>
              </w:rPr>
              <w:t>Болиева</w:t>
            </w:r>
            <w:proofErr w:type="spellEnd"/>
            <w:r w:rsidR="00083EAE" w:rsidRPr="00A11F2D">
              <w:rPr>
                <w:rFonts w:eastAsia="ArialMT"/>
                <w:sz w:val="24"/>
                <w:szCs w:val="24"/>
              </w:rPr>
              <w:t xml:space="preserve"> Л.З. Особенности структурно-функциональных изменений </w:t>
            </w:r>
            <w:proofErr w:type="spellStart"/>
            <w:proofErr w:type="gramStart"/>
            <w:r w:rsidR="00083EAE" w:rsidRPr="00A11F2D">
              <w:rPr>
                <w:rFonts w:eastAsia="ArialMT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="00083EAE" w:rsidRPr="00A11F2D">
              <w:rPr>
                <w:rFonts w:eastAsia="ArialMT"/>
                <w:sz w:val="24"/>
                <w:szCs w:val="24"/>
              </w:rPr>
              <w:t xml:space="preserve"> системы у больных с артериальной гипертензией и хронической </w:t>
            </w:r>
            <w:proofErr w:type="spellStart"/>
            <w:r w:rsidR="00083EAE" w:rsidRPr="00A11F2D">
              <w:rPr>
                <w:rFonts w:eastAsia="ArialMT"/>
                <w:sz w:val="24"/>
                <w:szCs w:val="24"/>
              </w:rPr>
              <w:t>обструктивной</w:t>
            </w:r>
            <w:proofErr w:type="spellEnd"/>
            <w:r w:rsidR="00083EAE" w:rsidRPr="00A11F2D">
              <w:rPr>
                <w:rFonts w:eastAsia="ArialMT"/>
                <w:sz w:val="24"/>
                <w:szCs w:val="24"/>
              </w:rPr>
              <w:t xml:space="preserve"> болезнью легких // Современные проблемы науки и образования.- 2014.- №4.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8825C8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4.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Бояринова М.А., </w:t>
            </w:r>
            <w:proofErr w:type="spellStart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Ротарь</w:t>
            </w:r>
            <w:proofErr w:type="spellEnd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Конради</w:t>
            </w:r>
            <w:proofErr w:type="spellEnd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А.О. </w:t>
            </w:r>
            <w:proofErr w:type="spellStart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Адипокины</w:t>
            </w:r>
            <w:proofErr w:type="spellEnd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кардиометаболический</w:t>
            </w:r>
            <w:proofErr w:type="spellEnd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синдром // Артериальная гипертензия.-2014.- Т. 20, 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>№5.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-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>. 422-432.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E407D">
              <w:rPr>
                <w:sz w:val="24"/>
                <w:szCs w:val="24"/>
              </w:rPr>
              <w:t xml:space="preserve">5. </w:t>
            </w:r>
            <w:r w:rsidR="00083EAE" w:rsidRPr="002E407D">
              <w:rPr>
                <w:sz w:val="24"/>
                <w:szCs w:val="24"/>
              </w:rPr>
              <w:t xml:space="preserve">Булаева Н.И., </w:t>
            </w:r>
            <w:proofErr w:type="spellStart"/>
            <w:r w:rsidR="00083EAE" w:rsidRPr="002E407D">
              <w:rPr>
                <w:sz w:val="24"/>
                <w:szCs w:val="24"/>
              </w:rPr>
              <w:t>Голухова</w:t>
            </w:r>
            <w:proofErr w:type="spellEnd"/>
            <w:r w:rsidR="00083EAE" w:rsidRPr="002E407D">
              <w:rPr>
                <w:sz w:val="24"/>
                <w:szCs w:val="24"/>
              </w:rPr>
              <w:t xml:space="preserve"> Е.З. Эндотелиальная дисфункция и </w:t>
            </w:r>
            <w:proofErr w:type="spellStart"/>
            <w:r w:rsidR="00083EAE" w:rsidRPr="002E407D">
              <w:rPr>
                <w:sz w:val="24"/>
                <w:szCs w:val="24"/>
              </w:rPr>
              <w:t>оксидативный</w:t>
            </w:r>
            <w:proofErr w:type="spellEnd"/>
            <w:r w:rsidR="00083EAE" w:rsidRPr="002E407D">
              <w:rPr>
                <w:sz w:val="24"/>
                <w:szCs w:val="24"/>
              </w:rPr>
              <w:t xml:space="preserve"> стресс: роль в развитии кардиоваскулярной патологии // </w:t>
            </w:r>
            <w:proofErr w:type="spellStart"/>
            <w:r w:rsidR="00083EAE" w:rsidRPr="002E407D">
              <w:rPr>
                <w:sz w:val="24"/>
                <w:szCs w:val="24"/>
              </w:rPr>
              <w:t>Креативная</w:t>
            </w:r>
            <w:proofErr w:type="spellEnd"/>
            <w:r w:rsidR="00083EAE" w:rsidRPr="002E407D">
              <w:rPr>
                <w:sz w:val="24"/>
                <w:szCs w:val="24"/>
              </w:rPr>
              <w:t xml:space="preserve"> кардиология</w:t>
            </w:r>
            <w:r w:rsidR="00083EAE" w:rsidRPr="002E407D">
              <w:rPr>
                <w:rFonts w:eastAsia="TimesNewRomanPSMT"/>
                <w:sz w:val="24"/>
                <w:szCs w:val="24"/>
                <w:lang w:eastAsia="ru-RU"/>
              </w:rPr>
              <w:t>. -</w:t>
            </w:r>
            <w:r w:rsidR="00083EAE" w:rsidRPr="002E407D">
              <w:rPr>
                <w:sz w:val="24"/>
                <w:szCs w:val="24"/>
              </w:rPr>
              <w:t xml:space="preserve"> </w:t>
            </w:r>
            <w:r w:rsidR="00083EAE" w:rsidRPr="002E407D">
              <w:rPr>
                <w:rFonts w:eastAsia="TimesNewRomanPSMT"/>
                <w:sz w:val="24"/>
                <w:szCs w:val="24"/>
                <w:lang w:eastAsia="ru-RU"/>
              </w:rPr>
              <w:t>2013.- №1.- С.14–22.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6</w:t>
            </w:r>
            <w:r w:rsidR="008825C8">
              <w:rPr>
                <w:rFonts w:eastAsia="TimesNewRomanPSMT"/>
                <w:sz w:val="24"/>
                <w:szCs w:val="24"/>
              </w:rPr>
              <w:t xml:space="preserve">. </w:t>
            </w:r>
            <w:r w:rsidR="00083EAE" w:rsidRPr="00A11F2D">
              <w:rPr>
                <w:rFonts w:eastAsia="TimesNewRomanPSMT"/>
                <w:sz w:val="24"/>
                <w:szCs w:val="24"/>
              </w:rPr>
              <w:t xml:space="preserve">Вершинина А.М.,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Реут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Ю.С., Гапон Л.И.,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Бусарова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Е.С., Третьякова Н.В., Копылова Л.Н.,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Плюснин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А.В. Сравнительная эффективность комбинированной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антигипертензивной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терапии у пациентов артериальной гипертонией в сочетании с метаболическими нарушениями // Медицинская наука и образование Урала.- </w:t>
            </w:r>
            <w:r w:rsidR="00083EAE" w:rsidRPr="00C70809">
              <w:rPr>
                <w:rFonts w:eastAsia="TimesNewRomanPSMT"/>
                <w:sz w:val="24"/>
                <w:szCs w:val="24"/>
              </w:rPr>
              <w:t>2013.</w:t>
            </w:r>
            <w:r w:rsidR="00083EAE" w:rsidRPr="00A11F2D">
              <w:rPr>
                <w:rFonts w:eastAsia="TimesNewRomanPSMT"/>
                <w:sz w:val="24"/>
                <w:szCs w:val="24"/>
              </w:rPr>
              <w:t>-</w:t>
            </w:r>
            <w:r w:rsidR="00083EAE" w:rsidRPr="00C70809">
              <w:rPr>
                <w:rFonts w:eastAsia="TimesNewRomanPSMT"/>
                <w:sz w:val="24"/>
                <w:szCs w:val="24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</w:rPr>
              <w:t>Том 14, № 3(75).-  С. 14-17.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7</w:t>
            </w:r>
            <w:r w:rsidR="008825C8">
              <w:rPr>
                <w:rFonts w:eastAsia="TimesNewRomanPSMT"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Герасимова А.С., Олейников В.Э., Елисеева И.В. Особенности течения артериальной гипертензии и поражения органов-мишеней при метаболическом синдроме // Кардиология.-  2008.- №3.- С. 22-29.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-BoldMT"/>
                <w:bCs/>
                <w:sz w:val="24"/>
                <w:szCs w:val="24"/>
                <w:lang w:eastAsia="ru-RU"/>
              </w:rPr>
              <w:t>8</w:t>
            </w:r>
            <w:r w:rsidR="008825C8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Ионов М.В., </w:t>
            </w:r>
            <w:proofErr w:type="spellStart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Звартау</w:t>
            </w:r>
            <w:proofErr w:type="spellEnd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Н.Э., </w:t>
            </w:r>
            <w:proofErr w:type="spellStart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Конради</w:t>
            </w:r>
            <w:proofErr w:type="spellEnd"/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А.О. Совместные клинические рекомендации ESH/ESC 2018 по диагностике и ведению пациентов с артериальной гипертензией: первый взгляд  // Артериальная гипертензия.-  2018.- №24(3).-  С.351-358.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8825C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Исламгалеева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З.М.,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Мингазетдинова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Л.Н.,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Кабилова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А.В., Бакиров  А.Б.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Взаимосвязь эндотелиальной дисфункции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с полиморфизмом генов SELP и VEGF у женщин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сметаболическим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синдромом и артериальной гипертонией //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Медицинский вестник Башкортостана.- 2017. -Т. 12, № 6 (72).- С. 21-26.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1</w:t>
            </w:r>
            <w:r w:rsidR="002E407D">
              <w:rPr>
                <w:rFonts w:eastAsia="TimesNewRomanPSMT"/>
                <w:sz w:val="24"/>
                <w:szCs w:val="24"/>
                <w:lang w:eastAsia="ru-RU"/>
              </w:rPr>
              <w:t>0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Князева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Л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А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.,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Шишова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А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Горяйнов</w:t>
            </w:r>
            <w:proofErr w:type="spellEnd"/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И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>.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И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Влияние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терапии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на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маркеры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субклинического</w:t>
            </w:r>
            <w:proofErr w:type="spellEnd"/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воспаления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и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ригидность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сосудистого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русла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у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больных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артериальной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гипертензией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метаболическим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синдромом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//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Современные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проблемы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науки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и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образования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. – 2012. – № 6. –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>. 267.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="002E407D">
              <w:rPr>
                <w:bCs/>
                <w:sz w:val="24"/>
                <w:szCs w:val="24"/>
                <w:lang w:eastAsia="ru-RU"/>
              </w:rPr>
              <w:t>1</w:t>
            </w:r>
            <w:r>
              <w:rPr>
                <w:bCs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Крюков Н.Н., Гинзбург М.М., Киселева Е.В.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Современный взгляд на роль асептического воспаления жировой ткани в генезе ожирения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и метаболического синдрома // Артериальная гипертензия.- 2013.- Т. 19, №4.- С. 305-310.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1</w:t>
            </w:r>
            <w:r w:rsidR="002E407D">
              <w:rPr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Литвинова Л.С., </w:t>
            </w:r>
            <w:proofErr w:type="spellStart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Кириенкова</w:t>
            </w:r>
            <w:proofErr w:type="spellEnd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 Е.В., Аксенова Н.Н., </w:t>
            </w:r>
            <w:proofErr w:type="spellStart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Газатова</w:t>
            </w:r>
            <w:proofErr w:type="spellEnd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 Н.Д., </w:t>
            </w:r>
            <w:proofErr w:type="spellStart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Затолокин</w:t>
            </w:r>
            <w:proofErr w:type="spellEnd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 П.А.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Особенности клеточного иммунитета и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цитокинового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репертуара у пациентов с метаболическим синдромом //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Бюллетень сибирской медицины. – 2012. - № 3.- С. 53-57.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ru-RU"/>
              </w:rPr>
              <w:t>1</w:t>
            </w:r>
            <w:r w:rsidR="002E407D">
              <w:rPr>
                <w:iCs/>
                <w:sz w:val="24"/>
                <w:szCs w:val="24"/>
                <w:lang w:eastAsia="ru-RU"/>
              </w:rPr>
              <w:t>3</w:t>
            </w:r>
            <w:r>
              <w:rPr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A11F2D">
              <w:rPr>
                <w:iCs/>
                <w:sz w:val="24"/>
                <w:szCs w:val="24"/>
                <w:lang w:eastAsia="ru-RU"/>
              </w:rPr>
              <w:t>Лындина</w:t>
            </w:r>
            <w:proofErr w:type="spellEnd"/>
            <w:r w:rsidR="00083EAE" w:rsidRPr="00A11F2D">
              <w:rPr>
                <w:iCs/>
                <w:sz w:val="24"/>
                <w:szCs w:val="24"/>
                <w:lang w:eastAsia="ru-RU"/>
              </w:rPr>
              <w:t xml:space="preserve"> М.Л., Шишкин А.Н., </w:t>
            </w:r>
            <w:proofErr w:type="spellStart"/>
            <w:r w:rsidR="00083EAE" w:rsidRPr="00A11F2D">
              <w:rPr>
                <w:iCs/>
                <w:sz w:val="24"/>
                <w:szCs w:val="24"/>
                <w:lang w:eastAsia="ru-RU"/>
              </w:rPr>
              <w:t>Тесля</w:t>
            </w:r>
            <w:proofErr w:type="spellEnd"/>
            <w:r w:rsidR="00083EAE" w:rsidRPr="00A11F2D">
              <w:rPr>
                <w:iCs/>
                <w:sz w:val="24"/>
                <w:szCs w:val="24"/>
                <w:lang w:eastAsia="ru-RU"/>
              </w:rPr>
              <w:t xml:space="preserve"> О.В. Особенности ранней диагностики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эндотелиальной дисфункции  у больных с метаболическим синдромом // </w:t>
            </w:r>
            <w:r w:rsidR="00083EAE" w:rsidRPr="00A11F2D">
              <w:rPr>
                <w:sz w:val="24"/>
                <w:szCs w:val="24"/>
              </w:rPr>
              <w:t xml:space="preserve">Вестник СПбГУ. - Сер. 11. - 2014. - </w:t>
            </w:r>
            <w:proofErr w:type="spellStart"/>
            <w:r w:rsidR="00083EAE" w:rsidRPr="00A11F2D">
              <w:rPr>
                <w:sz w:val="24"/>
                <w:szCs w:val="24"/>
              </w:rPr>
              <w:t>Вып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. 3.- </w:t>
            </w:r>
            <w:r w:rsidR="00083EAE" w:rsidRPr="00A11F2D">
              <w:rPr>
                <w:sz w:val="24"/>
                <w:szCs w:val="24"/>
                <w:lang w:eastAsia="ru-RU"/>
              </w:rPr>
              <w:t>С. 56-64.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1</w:t>
            </w:r>
            <w:r w:rsidR="002E407D">
              <w:rPr>
                <w:rFonts w:eastAsia="TimesNewRomanPSMT"/>
                <w:sz w:val="24"/>
                <w:szCs w:val="24"/>
                <w:lang w:eastAsia="ru-RU"/>
              </w:rPr>
              <w:t>4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Мамедов М.Н., Горбунов В.М., Киселева Н.В.,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Оганов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Р.Г. Особенности структурно-функциональных изменений миокарда и гемодинамических нарушений у больных с метаболическим синдромом: вклад артериальной гипертонии в формирование суммарного коронарного риска // Кардиологический вестник.-  2005.- № 1.-  С. 11–16.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Arial-ItalicMT"/>
                <w:iCs/>
                <w:sz w:val="24"/>
                <w:szCs w:val="24"/>
              </w:rPr>
              <w:t>1</w:t>
            </w:r>
            <w:r w:rsidR="002E407D">
              <w:rPr>
                <w:rFonts w:eastAsia="Arial-ItalicMT"/>
                <w:iCs/>
                <w:sz w:val="24"/>
                <w:szCs w:val="24"/>
              </w:rPr>
              <w:t>5</w:t>
            </w:r>
            <w:r>
              <w:rPr>
                <w:rFonts w:eastAsia="Arial-ItalicMT"/>
                <w:iCs/>
                <w:sz w:val="24"/>
                <w:szCs w:val="24"/>
              </w:rPr>
              <w:t xml:space="preserve">. </w:t>
            </w:r>
            <w:r w:rsidR="00083EAE" w:rsidRPr="00A11F2D">
              <w:rPr>
                <w:rFonts w:eastAsia="Arial-ItalicMT"/>
                <w:iCs/>
                <w:sz w:val="24"/>
                <w:szCs w:val="24"/>
              </w:rPr>
              <w:t xml:space="preserve">Марков Х.М. </w:t>
            </w:r>
            <w:r w:rsidR="00083EAE" w:rsidRPr="00A11F2D">
              <w:rPr>
                <w:rFonts w:eastAsia="ArialMT"/>
                <w:sz w:val="24"/>
                <w:szCs w:val="24"/>
              </w:rPr>
              <w:t xml:space="preserve">Молекулярные механизмы дисфункции сосудистого эндотелия  // </w:t>
            </w:r>
            <w:r w:rsidR="00083EAE" w:rsidRPr="00A11F2D">
              <w:rPr>
                <w:rFonts w:eastAsia="ArialMT"/>
                <w:sz w:val="24"/>
                <w:szCs w:val="24"/>
              </w:rPr>
              <w:lastRenderedPageBreak/>
              <w:t>Кардиология. - 2005.- № 12.- С.62-67.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ru-RU"/>
              </w:rPr>
              <w:lastRenderedPageBreak/>
              <w:t>1</w:t>
            </w:r>
            <w:r w:rsidR="002E407D">
              <w:rPr>
                <w:iCs/>
                <w:sz w:val="24"/>
                <w:szCs w:val="24"/>
                <w:lang w:eastAsia="ru-RU"/>
              </w:rPr>
              <w:t>6</w:t>
            </w:r>
            <w:r>
              <w:rPr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A11F2D">
              <w:rPr>
                <w:iCs/>
                <w:sz w:val="24"/>
                <w:szCs w:val="24"/>
                <w:lang w:eastAsia="ru-RU"/>
              </w:rPr>
              <w:t>Невзорова</w:t>
            </w:r>
            <w:proofErr w:type="spellEnd"/>
            <w:r w:rsidR="00083EAE" w:rsidRPr="00A11F2D">
              <w:rPr>
                <w:iCs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="00083EAE" w:rsidRPr="00A11F2D">
              <w:rPr>
                <w:iCs/>
                <w:sz w:val="24"/>
                <w:szCs w:val="24"/>
                <w:lang w:eastAsia="ru-RU"/>
              </w:rPr>
              <w:t>Помогалова</w:t>
            </w:r>
            <w:proofErr w:type="spellEnd"/>
            <w:r w:rsidR="00083EAE" w:rsidRPr="00A11F2D">
              <w:rPr>
                <w:iCs/>
                <w:sz w:val="24"/>
                <w:szCs w:val="24"/>
                <w:lang w:eastAsia="ru-RU"/>
              </w:rPr>
              <w:t xml:space="preserve"> О.Г., </w:t>
            </w:r>
            <w:proofErr w:type="spellStart"/>
            <w:r w:rsidR="00083EAE" w:rsidRPr="00A11F2D">
              <w:rPr>
                <w:iCs/>
                <w:sz w:val="24"/>
                <w:szCs w:val="24"/>
                <w:lang w:eastAsia="ru-RU"/>
              </w:rPr>
              <w:t>Настрадин</w:t>
            </w:r>
            <w:proofErr w:type="spellEnd"/>
            <w:r w:rsidR="00083EAE" w:rsidRPr="00A11F2D">
              <w:rPr>
                <w:rFonts w:eastAsia="NewtonC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iCs/>
                <w:sz w:val="24"/>
                <w:szCs w:val="24"/>
                <w:lang w:eastAsia="ru-RU"/>
              </w:rPr>
              <w:t xml:space="preserve">О.В.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Роль эндотелиальной дисфункции в прогрессировании метаболического синдрома от факторов риска до сосудистых катастроф // </w:t>
            </w:r>
            <w:r w:rsidR="00083EAE" w:rsidRPr="00A11F2D">
              <w:rPr>
                <w:sz w:val="24"/>
                <w:szCs w:val="24"/>
                <w:lang w:eastAsia="ru-RU"/>
              </w:rPr>
              <w:t>Тихоокеанский медицинский журнал. – 2008.- № 3.- С. 69-74.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,Bold"/>
                <w:bCs/>
                <w:sz w:val="24"/>
                <w:szCs w:val="24"/>
              </w:rPr>
              <w:t>1</w:t>
            </w:r>
            <w:r w:rsidR="002E407D">
              <w:rPr>
                <w:rFonts w:eastAsia="Times New Roman,Bold"/>
                <w:bCs/>
                <w:sz w:val="24"/>
                <w:szCs w:val="24"/>
              </w:rPr>
              <w:t>7</w:t>
            </w:r>
            <w:r>
              <w:rPr>
                <w:rFonts w:eastAsia="Times New Roman,Bold"/>
                <w:bCs/>
                <w:sz w:val="24"/>
                <w:szCs w:val="24"/>
              </w:rPr>
              <w:t xml:space="preserve">. </w:t>
            </w:r>
            <w:r w:rsidR="00083EAE" w:rsidRPr="00A11F2D">
              <w:rPr>
                <w:rFonts w:eastAsia="Times New Roman,Bold"/>
                <w:bCs/>
                <w:sz w:val="24"/>
                <w:szCs w:val="24"/>
              </w:rPr>
              <w:t xml:space="preserve">Полозова Э.И., Мамкина Н.Н., </w:t>
            </w:r>
            <w:proofErr w:type="spellStart"/>
            <w:r w:rsidR="00083EAE" w:rsidRPr="00A11F2D">
              <w:rPr>
                <w:rFonts w:eastAsia="Times New Roman,Bold"/>
                <w:bCs/>
                <w:sz w:val="24"/>
                <w:szCs w:val="24"/>
              </w:rPr>
              <w:t>Сеськина</w:t>
            </w:r>
            <w:proofErr w:type="spellEnd"/>
            <w:r w:rsidR="00083EAE" w:rsidRPr="00A11F2D">
              <w:rPr>
                <w:rFonts w:eastAsia="Times New Roman,Bold"/>
                <w:bCs/>
                <w:sz w:val="24"/>
                <w:szCs w:val="24"/>
              </w:rPr>
              <w:t xml:space="preserve"> А.А., </w:t>
            </w:r>
            <w:proofErr w:type="spellStart"/>
            <w:r w:rsidR="00083EAE" w:rsidRPr="00A11F2D">
              <w:rPr>
                <w:rFonts w:eastAsia="Times New Roman,Bold"/>
                <w:bCs/>
                <w:sz w:val="24"/>
                <w:szCs w:val="24"/>
              </w:rPr>
              <w:t>Пузанова</w:t>
            </w:r>
            <w:proofErr w:type="spellEnd"/>
            <w:r w:rsidR="00083EAE" w:rsidRPr="00A11F2D">
              <w:rPr>
                <w:rFonts w:eastAsia="Times New Roman,Bold"/>
                <w:bCs/>
                <w:sz w:val="24"/>
                <w:szCs w:val="24"/>
              </w:rPr>
              <w:t xml:space="preserve"> Е.В., Абрамова С.Г., Азизова Э.З. </w:t>
            </w:r>
            <w:proofErr w:type="spellStart"/>
            <w:r w:rsidR="00083EAE" w:rsidRPr="00A11F2D">
              <w:rPr>
                <w:rFonts w:eastAsia="Times New Roman,Bold"/>
                <w:sz w:val="24"/>
                <w:szCs w:val="24"/>
              </w:rPr>
              <w:t>Диастолическая</w:t>
            </w:r>
            <w:proofErr w:type="spellEnd"/>
            <w:r w:rsidR="00083EAE" w:rsidRPr="00A11F2D">
              <w:rPr>
                <w:rFonts w:eastAsia="Times New Roman,Bold"/>
                <w:sz w:val="24"/>
                <w:szCs w:val="24"/>
              </w:rPr>
              <w:t xml:space="preserve"> дисфункция левого желудочка у больных метаболическим синдромом и артериальной гипертензией //  </w:t>
            </w:r>
            <w:r w:rsidR="00083EAE" w:rsidRPr="00A11F2D">
              <w:rPr>
                <w:bCs/>
                <w:sz w:val="24"/>
                <w:szCs w:val="24"/>
              </w:rPr>
              <w:t xml:space="preserve">XLVI </w:t>
            </w:r>
            <w:r w:rsidR="00083EAE" w:rsidRPr="00A11F2D">
              <w:rPr>
                <w:rFonts w:eastAsia="Times New Roman,Bold"/>
                <w:bCs/>
                <w:sz w:val="24"/>
                <w:szCs w:val="24"/>
              </w:rPr>
              <w:t>Огарёвские чтения</w:t>
            </w:r>
            <w:r w:rsidR="00083EAE" w:rsidRPr="00A11F2D">
              <w:rPr>
                <w:sz w:val="24"/>
                <w:szCs w:val="24"/>
              </w:rPr>
              <w:t xml:space="preserve">: материалы </w:t>
            </w:r>
            <w:proofErr w:type="spellStart"/>
            <w:r w:rsidR="00083EAE" w:rsidRPr="00A11F2D">
              <w:rPr>
                <w:sz w:val="24"/>
                <w:szCs w:val="24"/>
              </w:rPr>
              <w:t>науч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. </w:t>
            </w:r>
            <w:proofErr w:type="spellStart"/>
            <w:r w:rsidR="00083EAE" w:rsidRPr="00A11F2D">
              <w:rPr>
                <w:sz w:val="24"/>
                <w:szCs w:val="24"/>
              </w:rPr>
              <w:t>конф</w:t>
            </w:r>
            <w:proofErr w:type="spellEnd"/>
            <w:r w:rsidR="00083EAE" w:rsidRPr="00A11F2D">
              <w:rPr>
                <w:sz w:val="24"/>
                <w:szCs w:val="24"/>
              </w:rPr>
              <w:t>.</w:t>
            </w:r>
            <w:proofErr w:type="gramStart"/>
            <w:r w:rsidR="00083EAE" w:rsidRPr="00A11F2D">
              <w:rPr>
                <w:sz w:val="24"/>
                <w:szCs w:val="24"/>
              </w:rPr>
              <w:t xml:space="preserve"> :</w:t>
            </w:r>
            <w:proofErr w:type="gramEnd"/>
            <w:r w:rsidR="00083EAE" w:rsidRPr="00A11F2D">
              <w:rPr>
                <w:sz w:val="24"/>
                <w:szCs w:val="24"/>
              </w:rPr>
              <w:t xml:space="preserve"> в 3 ч. Ч. 2 : Естественные науки / отв.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</w:rPr>
              <w:t xml:space="preserve">за </w:t>
            </w:r>
            <w:proofErr w:type="spellStart"/>
            <w:r w:rsidR="00083EAE" w:rsidRPr="00A11F2D">
              <w:rPr>
                <w:sz w:val="24"/>
                <w:szCs w:val="24"/>
              </w:rPr>
              <w:t>вып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. П. В. Сенин. Саранск: </w:t>
            </w:r>
            <w:proofErr w:type="spellStart"/>
            <w:r w:rsidR="00083EAE" w:rsidRPr="00A11F2D">
              <w:rPr>
                <w:sz w:val="24"/>
                <w:szCs w:val="24"/>
              </w:rPr>
              <w:t>Мордов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. </w:t>
            </w:r>
            <w:proofErr w:type="spellStart"/>
            <w:r w:rsidR="00083EAE" w:rsidRPr="00A11F2D">
              <w:rPr>
                <w:sz w:val="24"/>
                <w:szCs w:val="24"/>
              </w:rPr>
              <w:t>гос</w:t>
            </w:r>
            <w:proofErr w:type="spellEnd"/>
            <w:r w:rsidR="00083EAE" w:rsidRPr="00A11F2D">
              <w:rPr>
                <w:sz w:val="24"/>
                <w:szCs w:val="24"/>
              </w:rPr>
              <w:t>. ун-т, 2018. - С</w:t>
            </w:r>
            <w:r w:rsidR="00083EAE" w:rsidRPr="00A11F2D">
              <w:rPr>
                <w:rFonts w:eastAsia="Times New Roman,Bold"/>
                <w:sz w:val="24"/>
                <w:szCs w:val="24"/>
              </w:rPr>
              <w:t>.352-357.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2E407D">
              <w:rPr>
                <w:iCs/>
                <w:sz w:val="24"/>
                <w:szCs w:val="24"/>
              </w:rPr>
              <w:t>8</w:t>
            </w:r>
            <w:r>
              <w:rPr>
                <w:iCs/>
                <w:sz w:val="24"/>
                <w:szCs w:val="24"/>
              </w:rPr>
              <w:t xml:space="preserve">. </w:t>
            </w:r>
            <w:r w:rsidR="00083EAE" w:rsidRPr="00A11F2D">
              <w:rPr>
                <w:iCs/>
                <w:sz w:val="24"/>
                <w:szCs w:val="24"/>
              </w:rPr>
              <w:t xml:space="preserve">Полозова Э.И., Сорокина Н.Н., </w:t>
            </w:r>
            <w:proofErr w:type="spellStart"/>
            <w:r w:rsidR="00083EAE" w:rsidRPr="00A11F2D">
              <w:rPr>
                <w:iCs/>
                <w:sz w:val="24"/>
                <w:szCs w:val="24"/>
              </w:rPr>
              <w:t>Сеськина</w:t>
            </w:r>
            <w:proofErr w:type="spellEnd"/>
            <w:r w:rsidR="00083EAE" w:rsidRPr="00A11F2D">
              <w:rPr>
                <w:iCs/>
                <w:sz w:val="24"/>
                <w:szCs w:val="24"/>
              </w:rPr>
              <w:t xml:space="preserve"> А.А., </w:t>
            </w:r>
            <w:proofErr w:type="spellStart"/>
            <w:r w:rsidR="00083EAE" w:rsidRPr="00A11F2D">
              <w:rPr>
                <w:iCs/>
                <w:sz w:val="24"/>
                <w:szCs w:val="24"/>
              </w:rPr>
              <w:t>Пузанова</w:t>
            </w:r>
            <w:proofErr w:type="spellEnd"/>
            <w:r w:rsidR="00083EAE" w:rsidRPr="00A11F2D">
              <w:rPr>
                <w:iCs/>
                <w:sz w:val="24"/>
                <w:szCs w:val="24"/>
              </w:rPr>
              <w:t xml:space="preserve"> Е.В., Азизова Э.З., Абрамова С.Г. Новые возможности диагностики </w:t>
            </w:r>
            <w:proofErr w:type="spellStart"/>
            <w:r w:rsidR="00083EAE" w:rsidRPr="00A11F2D">
              <w:rPr>
                <w:iCs/>
                <w:sz w:val="24"/>
                <w:szCs w:val="24"/>
              </w:rPr>
              <w:t>кардиоренальных</w:t>
            </w:r>
            <w:proofErr w:type="spellEnd"/>
            <w:r w:rsidR="00083EAE" w:rsidRPr="00A11F2D">
              <w:rPr>
                <w:iCs/>
                <w:sz w:val="24"/>
                <w:szCs w:val="24"/>
              </w:rPr>
              <w:t xml:space="preserve"> нарушений при метаболическом синдроме // </w:t>
            </w:r>
            <w:r w:rsidR="00083EAE" w:rsidRPr="00A11F2D">
              <w:rPr>
                <w:bCs/>
                <w:sz w:val="24"/>
                <w:szCs w:val="24"/>
              </w:rPr>
              <w:t xml:space="preserve">Инновации в образовании и медицине. </w:t>
            </w:r>
            <w:r w:rsidR="00083EAE" w:rsidRPr="00A11F2D">
              <w:rPr>
                <w:sz w:val="24"/>
                <w:szCs w:val="24"/>
              </w:rPr>
              <w:t>Материалы V Всероссийской научно-практической конференции с международным участием.-  Махачкала, 2018.- С. 235-240.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825C8">
              <w:rPr>
                <w:sz w:val="24"/>
                <w:szCs w:val="24"/>
              </w:rPr>
              <w:t xml:space="preserve">. </w:t>
            </w:r>
            <w:r w:rsidR="00083EAE" w:rsidRPr="00A11F2D">
              <w:rPr>
                <w:sz w:val="24"/>
                <w:szCs w:val="24"/>
              </w:rPr>
              <w:t>Полозова Э.И., Сорокина Н.Н., Чегодаева Л.В.,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sz w:val="24"/>
                <w:szCs w:val="24"/>
              </w:rPr>
              <w:t>Трохина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 И.Е., </w:t>
            </w:r>
            <w:proofErr w:type="spellStart"/>
            <w:r w:rsidR="00083EAE" w:rsidRPr="00A11F2D">
              <w:rPr>
                <w:sz w:val="24"/>
                <w:szCs w:val="24"/>
              </w:rPr>
              <w:t>Сеськина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 А.А., </w:t>
            </w:r>
            <w:proofErr w:type="spellStart"/>
            <w:r w:rsidR="00083EAE" w:rsidRPr="00A11F2D">
              <w:rPr>
                <w:sz w:val="24"/>
                <w:szCs w:val="24"/>
              </w:rPr>
              <w:t>Пузанова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 Е.В. Исследование ренальной дисфункции у больных артериальной гипертензией и метаболическим синдромом // Материалы </w:t>
            </w:r>
            <w:r w:rsidR="00083EAE" w:rsidRPr="00A11F2D">
              <w:rPr>
                <w:sz w:val="24"/>
                <w:szCs w:val="24"/>
                <w:lang w:val="en-US"/>
              </w:rPr>
              <w:t>VI</w:t>
            </w:r>
            <w:r w:rsidR="00083EAE" w:rsidRPr="00A11F2D">
              <w:rPr>
                <w:sz w:val="24"/>
                <w:szCs w:val="24"/>
              </w:rPr>
              <w:t xml:space="preserve"> Евразийского конгресса кардиологов.  Москва.  18-19 апреля 2018 г.- С. 10-11.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Newton-Bold"/>
                <w:bCs/>
                <w:sz w:val="24"/>
                <w:szCs w:val="24"/>
                <w:lang w:eastAsia="ru-RU"/>
              </w:rPr>
              <w:t>2</w:t>
            </w:r>
            <w:r w:rsidR="002E407D">
              <w:rPr>
                <w:rFonts w:eastAsia="Newton-Bold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Newton-Bold"/>
                <w:bCs/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 xml:space="preserve">Прокудина Е.С., Маслов Л.Н., Иванов В.В., Беспалова И.Д., Письменный Д.С., Воронков Н.С.  Роль активных форм кислорода в патогенезе дисфункции </w:t>
            </w:r>
            <w:proofErr w:type="spellStart"/>
            <w:r w:rsidR="00083EAE"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>адипоцитов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 </w:t>
            </w:r>
            <w:r w:rsidR="00083EAE"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>при метаболическом синдроме:</w:t>
            </w:r>
            <w:r w:rsidR="00083EAE" w:rsidRPr="00A11F2D">
              <w:rPr>
                <w:sz w:val="24"/>
                <w:szCs w:val="24"/>
              </w:rPr>
              <w:t xml:space="preserve"> </w:t>
            </w:r>
            <w:r w:rsidR="00083EAE"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 xml:space="preserve">перспективы фармакологической коррекции // </w:t>
            </w:r>
            <w:r w:rsidR="00083EAE" w:rsidRPr="00A11F2D">
              <w:rPr>
                <w:rFonts w:eastAsia="Newton-Regular"/>
                <w:sz w:val="24"/>
                <w:szCs w:val="24"/>
                <w:lang w:eastAsia="ru-RU"/>
              </w:rPr>
              <w:t>Вестник РАМН. - 2017.- №72 (1)</w:t>
            </w:r>
            <w:r w:rsidR="00083EAE"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>.- С. 11-16.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2E407D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Салихова А.Ф. Иммунологические аспекты патогенеза артериальной гипертензии при метаболическом синдроме // </w:t>
            </w:r>
            <w:r w:rsidR="00083EAE" w:rsidRPr="00A11F2D">
              <w:rPr>
                <w:bCs/>
                <w:sz w:val="24"/>
                <w:szCs w:val="24"/>
              </w:rPr>
              <w:t>Казанский медицинский журнал.- 2014.- Т. 95, №3.- С. 322-325.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E407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. </w:t>
            </w:r>
            <w:r w:rsidR="00083EAE" w:rsidRPr="00A11F2D">
              <w:rPr>
                <w:bCs/>
                <w:sz w:val="24"/>
                <w:szCs w:val="24"/>
              </w:rPr>
              <w:t xml:space="preserve">Сергеева В.В., Родионова А.Ю.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Современный подход к оценке артериальной гипертензии в сочетании с метаболическими нарушениями // Артериальная гипертензия.- 2013.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>-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 xml:space="preserve"> Т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 xml:space="preserve">. 19, №5.- </w:t>
            </w:r>
            <w:r w:rsidR="00083EAE" w:rsidRPr="00A11F2D">
              <w:rPr>
                <w:rFonts w:eastAsia="TimesNewRomanPS-BoldMT"/>
                <w:bCs/>
                <w:sz w:val="24"/>
                <w:szCs w:val="24"/>
              </w:rPr>
              <w:t>С</w:t>
            </w:r>
            <w:r w:rsidR="00083EAE" w:rsidRPr="00C70809">
              <w:rPr>
                <w:rFonts w:eastAsia="TimesNewRomanPS-BoldMT"/>
                <w:bCs/>
                <w:sz w:val="24"/>
                <w:szCs w:val="24"/>
              </w:rPr>
              <w:t>.397-404.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  <w:r w:rsidR="002E407D">
              <w:rPr>
                <w:bCs/>
                <w:sz w:val="24"/>
                <w:szCs w:val="24"/>
                <w:lang w:eastAsia="ru-RU"/>
              </w:rPr>
              <w:t>3</w:t>
            </w:r>
            <w:r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Сидельникова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Якусевич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Петроченко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А.С., Тихомирова И.А.,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Петроченко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Е.П.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Особенности реологических и микроциркуляторных показателей у пациентов с метаболическим синдромом // </w:t>
            </w:r>
            <w:r w:rsidR="00083EAE" w:rsidRPr="00A11F2D">
              <w:rPr>
                <w:bCs/>
                <w:sz w:val="24"/>
                <w:szCs w:val="24"/>
              </w:rPr>
              <w:t xml:space="preserve">Ярославский педагогический вестник. </w:t>
            </w:r>
            <w:r w:rsidR="00083EAE" w:rsidRPr="00A11F2D">
              <w:rPr>
                <w:sz w:val="24"/>
                <w:szCs w:val="24"/>
              </w:rPr>
              <w:t>– 2012. – № 2. – Том III (Естественные науки).- С. 91-97.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2E407D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2E407D">
              <w:rPr>
                <w:iCs/>
                <w:sz w:val="24"/>
                <w:szCs w:val="24"/>
                <w:lang w:eastAsia="ru-RU"/>
              </w:rPr>
              <w:t>2</w:t>
            </w:r>
            <w:r w:rsidR="002E407D" w:rsidRPr="002E407D">
              <w:rPr>
                <w:iCs/>
                <w:sz w:val="24"/>
                <w:szCs w:val="24"/>
                <w:lang w:eastAsia="ru-RU"/>
              </w:rPr>
              <w:t>4</w:t>
            </w:r>
            <w:r w:rsidRPr="002E407D">
              <w:rPr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2E407D">
              <w:rPr>
                <w:iCs/>
                <w:sz w:val="24"/>
                <w:szCs w:val="24"/>
                <w:lang w:eastAsia="ru-RU"/>
              </w:rPr>
              <w:t>Сумеркина</w:t>
            </w:r>
            <w:proofErr w:type="spellEnd"/>
            <w:r w:rsidR="00083EAE" w:rsidRPr="002E407D">
              <w:rPr>
                <w:iCs/>
                <w:sz w:val="24"/>
                <w:szCs w:val="24"/>
                <w:lang w:eastAsia="ru-RU"/>
              </w:rPr>
              <w:t xml:space="preserve"> В.А., Чулков В.С., </w:t>
            </w:r>
            <w:proofErr w:type="spellStart"/>
            <w:r w:rsidR="00083EAE" w:rsidRPr="002E407D">
              <w:rPr>
                <w:iCs/>
                <w:sz w:val="24"/>
                <w:szCs w:val="24"/>
                <w:lang w:eastAsia="ru-RU"/>
              </w:rPr>
              <w:t>Ожигина</w:t>
            </w:r>
            <w:proofErr w:type="spellEnd"/>
            <w:r w:rsidR="00083EAE" w:rsidRPr="002E407D">
              <w:rPr>
                <w:iCs/>
                <w:sz w:val="24"/>
                <w:szCs w:val="24"/>
                <w:lang w:eastAsia="ru-RU"/>
              </w:rPr>
              <w:t xml:space="preserve"> Е.В. </w:t>
            </w:r>
            <w:r w:rsidR="00083EAE" w:rsidRPr="002E407D">
              <w:rPr>
                <w:sz w:val="24"/>
                <w:szCs w:val="24"/>
                <w:lang w:eastAsia="ru-RU"/>
              </w:rPr>
              <w:t xml:space="preserve">Состояние системы гемостаза и </w:t>
            </w:r>
            <w:proofErr w:type="spellStart"/>
            <w:r w:rsidR="00083EAE" w:rsidRPr="002E407D">
              <w:rPr>
                <w:sz w:val="24"/>
                <w:szCs w:val="24"/>
                <w:lang w:eastAsia="ru-RU"/>
              </w:rPr>
              <w:t>цитокиновый</w:t>
            </w:r>
            <w:proofErr w:type="spellEnd"/>
            <w:r w:rsidR="00083EAE" w:rsidRPr="002E407D">
              <w:rPr>
                <w:sz w:val="24"/>
                <w:szCs w:val="24"/>
                <w:lang w:eastAsia="ru-RU"/>
              </w:rPr>
              <w:t xml:space="preserve"> профиль у пациентов с метаболическим синдромом // </w:t>
            </w:r>
            <w:r w:rsidR="00083EAE" w:rsidRPr="002E407D">
              <w:rPr>
                <w:bCs/>
                <w:sz w:val="24"/>
                <w:szCs w:val="24"/>
                <w:lang w:eastAsia="ru-RU"/>
              </w:rPr>
              <w:t>Казанский медицинский журнал.- 2015.- Т. 96, №5.- С. 728-734.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8825C8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2E407D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Сумеркина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В.А., Головнева Е.С., Телешева Л.Ф. Маркеры дисфункции эндотелия и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цитокиновый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профиль у пациентов с метаболическим синдромом и абдоминальным ожирением // Клиническая лабораторная диагностика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.-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C70809">
              <w:rPr>
                <w:sz w:val="24"/>
                <w:szCs w:val="24"/>
                <w:lang w:eastAsia="ru-RU"/>
              </w:rPr>
              <w:t>2016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.- </w:t>
            </w:r>
            <w:r w:rsidR="00083EAE" w:rsidRPr="00C70809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>Т</w:t>
            </w:r>
            <w:r w:rsidR="00083EAE" w:rsidRPr="00C70809">
              <w:rPr>
                <w:sz w:val="24"/>
                <w:szCs w:val="24"/>
                <w:lang w:eastAsia="ru-RU"/>
              </w:rPr>
              <w:t>. 61(7)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 - </w:t>
            </w:r>
            <w:r w:rsidR="00083EAE" w:rsidRPr="00C70809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>С</w:t>
            </w:r>
            <w:r w:rsidR="00083EAE" w:rsidRPr="00C70809">
              <w:rPr>
                <w:sz w:val="24"/>
                <w:szCs w:val="24"/>
                <w:lang w:eastAsia="ru-RU"/>
              </w:rPr>
              <w:t>. 408–412.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26.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Сумеркина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В.А., Чулков</w:t>
            </w:r>
            <w:r w:rsidR="00083EAE" w:rsidRPr="00A11F2D">
              <w:rPr>
                <w:rFonts w:eastAsia="NimbusCyr"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Вл.С.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Гендерные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особенности системы свертывания крови, углеводного и </w:t>
            </w:r>
            <w:proofErr w:type="spellStart"/>
            <w:r w:rsidR="00083EAE" w:rsidRPr="00A11F2D">
              <w:rPr>
                <w:bCs/>
                <w:sz w:val="24"/>
                <w:szCs w:val="24"/>
                <w:lang w:eastAsia="ru-RU"/>
              </w:rPr>
              <w:t>дипидного</w:t>
            </w:r>
            <w:proofErr w:type="spellEnd"/>
            <w:r w:rsidR="00083EAE" w:rsidRPr="00A11F2D">
              <w:rPr>
                <w:bCs/>
                <w:sz w:val="24"/>
                <w:szCs w:val="24"/>
                <w:lang w:eastAsia="ru-RU"/>
              </w:rPr>
              <w:t xml:space="preserve"> обмена при метаболическом синдроме и изолированном абдоминальном ожирении //</w:t>
            </w:r>
            <w:r w:rsidR="00083EAE" w:rsidRPr="00A11F2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 xml:space="preserve"> Известия Самарского научного центра Российской академии наук. - 2014.- Т. 16, №5(4).- С. 1422-1426.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27. </w:t>
            </w:r>
            <w:r w:rsidR="00083EAE" w:rsidRPr="00A11F2D">
              <w:rPr>
                <w:iCs/>
                <w:sz w:val="24"/>
                <w:szCs w:val="24"/>
              </w:rPr>
              <w:t xml:space="preserve">Тимашева Я.Р. Иммунологические аспекты </w:t>
            </w:r>
            <w:proofErr w:type="spellStart"/>
            <w:r w:rsidR="00083EAE" w:rsidRPr="00A11F2D">
              <w:rPr>
                <w:iCs/>
                <w:sz w:val="24"/>
                <w:szCs w:val="24"/>
              </w:rPr>
              <w:t>эссенциальной</w:t>
            </w:r>
            <w:proofErr w:type="spellEnd"/>
            <w:r w:rsidR="00083EAE" w:rsidRPr="00A11F2D">
              <w:rPr>
                <w:iCs/>
                <w:sz w:val="24"/>
                <w:szCs w:val="24"/>
              </w:rPr>
              <w:t xml:space="preserve"> гипертензии // Медицинская иммунология.- </w:t>
            </w:r>
            <w:r w:rsidR="00083EAE" w:rsidRPr="00C70809">
              <w:rPr>
                <w:iCs/>
                <w:sz w:val="24"/>
                <w:szCs w:val="24"/>
              </w:rPr>
              <w:t xml:space="preserve">2019.- № 21(3).- </w:t>
            </w:r>
            <w:r w:rsidR="00083EAE" w:rsidRPr="00A11F2D">
              <w:rPr>
                <w:iCs/>
                <w:sz w:val="24"/>
                <w:szCs w:val="24"/>
              </w:rPr>
              <w:t>С</w:t>
            </w:r>
            <w:r w:rsidR="00083EAE" w:rsidRPr="00C70809">
              <w:rPr>
                <w:iCs/>
                <w:sz w:val="24"/>
                <w:szCs w:val="24"/>
              </w:rPr>
              <w:t>. 407-418.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28. </w:t>
            </w:r>
            <w:r w:rsidR="00083EAE" w:rsidRPr="00A11F2D">
              <w:rPr>
                <w:rFonts w:eastAsia="TimesNewRomanPSMT"/>
                <w:sz w:val="24"/>
                <w:szCs w:val="24"/>
              </w:rPr>
              <w:t xml:space="preserve">Феоктистова </w:t>
            </w:r>
            <w:r w:rsidR="00083EAE" w:rsidRPr="00A11F2D">
              <w:rPr>
                <w:rFonts w:eastAsia="TimesNewRomanPSMT"/>
                <w:sz w:val="24"/>
                <w:szCs w:val="24"/>
                <w:lang w:val="en-US"/>
              </w:rPr>
              <w:t>B</w:t>
            </w:r>
            <w:r w:rsidR="00083EAE" w:rsidRPr="00A11F2D">
              <w:rPr>
                <w:rFonts w:eastAsia="TimesNewRomanPSMT"/>
                <w:sz w:val="24"/>
                <w:szCs w:val="24"/>
              </w:rPr>
              <w:t>.</w:t>
            </w:r>
            <w:r w:rsidR="00083EAE" w:rsidRPr="00A11F2D">
              <w:rPr>
                <w:rFonts w:eastAsia="TimesNewRomanPSMT"/>
                <w:sz w:val="24"/>
                <w:szCs w:val="24"/>
                <w:lang w:val="en-US"/>
              </w:rPr>
              <w:t>C</w:t>
            </w:r>
            <w:r w:rsidR="00083EAE" w:rsidRPr="00A11F2D">
              <w:rPr>
                <w:rFonts w:eastAsia="TimesNewRomanPSMT"/>
                <w:sz w:val="24"/>
                <w:szCs w:val="24"/>
              </w:rPr>
              <w:t xml:space="preserve">., Вавилова </w:t>
            </w:r>
            <w:r w:rsidR="00083EAE" w:rsidRPr="00A11F2D">
              <w:rPr>
                <w:rFonts w:eastAsia="TimesNewRomanPSMT"/>
                <w:sz w:val="24"/>
                <w:szCs w:val="24"/>
                <w:lang w:val="en-US"/>
              </w:rPr>
              <w:t>T</w:t>
            </w:r>
            <w:r w:rsidR="00083EAE" w:rsidRPr="00A11F2D">
              <w:rPr>
                <w:rFonts w:eastAsia="TimesNewRomanPSMT"/>
                <w:sz w:val="24"/>
                <w:szCs w:val="24"/>
              </w:rPr>
              <w:t>.</w:t>
            </w:r>
            <w:r w:rsidR="00083EAE" w:rsidRPr="00A11F2D">
              <w:rPr>
                <w:rFonts w:eastAsia="TimesNewRomanPSMT"/>
                <w:sz w:val="24"/>
                <w:szCs w:val="24"/>
                <w:lang w:val="en-US"/>
              </w:rPr>
              <w:t>B</w:t>
            </w:r>
            <w:r w:rsidR="00083EAE" w:rsidRPr="00A11F2D">
              <w:rPr>
                <w:rFonts w:eastAsia="TimesNewRomanPSMT"/>
                <w:sz w:val="24"/>
                <w:szCs w:val="24"/>
              </w:rPr>
              <w:t xml:space="preserve">., Сироткина О.В.,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Болдуева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С.А.,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Гайковая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Л.Б., Леонова И.А.,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Ласковец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А.Б., Ермаков А.И. Новый подход к оценке дисфункции эндотелия: определение количества циркулирующих эндотелиальных клеток методом проточной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</w:rPr>
              <w:t>цитометрии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</w:rPr>
              <w:t xml:space="preserve"> // Клиническая лабораторная диагностика.- 2015.</w:t>
            </w:r>
            <w:r w:rsidR="00083EAE" w:rsidRPr="00C70809">
              <w:rPr>
                <w:rFonts w:eastAsia="TimesNewRomanPSMT"/>
                <w:sz w:val="24"/>
                <w:szCs w:val="24"/>
              </w:rPr>
              <w:t>-</w:t>
            </w:r>
            <w:r w:rsidR="00083EAE" w:rsidRPr="00A11F2D">
              <w:rPr>
                <w:rFonts w:eastAsia="TimesNewRomanPSMT"/>
                <w:sz w:val="24"/>
                <w:szCs w:val="24"/>
              </w:rPr>
              <w:t xml:space="preserve"> № 4.</w:t>
            </w:r>
            <w:r w:rsidR="00083EAE" w:rsidRPr="00C70809">
              <w:rPr>
                <w:rFonts w:eastAsia="TimesNewRomanPSMT"/>
                <w:sz w:val="24"/>
                <w:szCs w:val="24"/>
              </w:rPr>
              <w:t>-</w:t>
            </w:r>
            <w:r w:rsidR="00083EAE" w:rsidRPr="00A11F2D">
              <w:rPr>
                <w:rFonts w:eastAsia="TimesNewRomanPSMT"/>
                <w:sz w:val="24"/>
                <w:szCs w:val="24"/>
              </w:rPr>
              <w:t xml:space="preserve"> С. 23—39.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29. 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Чазова И.Е., </w:t>
            </w:r>
            <w:proofErr w:type="spellStart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Жернакова</w:t>
            </w:r>
            <w:proofErr w:type="spellEnd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Ю.В., Ощепкова Е.В. Распространенность факторов риска </w:t>
            </w:r>
            <w:proofErr w:type="spellStart"/>
            <w:proofErr w:type="gramStart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proofErr w:type="gramEnd"/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заболеваний в российской популяции больных артериальной гипертонией // Кардиология.-  2014.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>-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 №10. </w:t>
            </w:r>
            <w:r w:rsidR="00083EAE" w:rsidRPr="00C70809">
              <w:rPr>
                <w:rFonts w:eastAsia="TimesNewRomanPSMT"/>
                <w:sz w:val="24"/>
                <w:szCs w:val="24"/>
                <w:lang w:eastAsia="ru-RU"/>
              </w:rPr>
              <w:t>-</w:t>
            </w:r>
            <w:r w:rsidR="00083EAE" w:rsidRPr="00A11F2D">
              <w:rPr>
                <w:rFonts w:eastAsia="TimesNewRomanPSMT"/>
                <w:sz w:val="24"/>
                <w:szCs w:val="24"/>
                <w:lang w:eastAsia="ru-RU"/>
              </w:rPr>
              <w:t>С.4–12.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30. </w:t>
            </w:r>
            <w:r w:rsidR="00083EAE" w:rsidRPr="00A11F2D">
              <w:rPr>
                <w:sz w:val="24"/>
                <w:szCs w:val="24"/>
              </w:rPr>
              <w:t xml:space="preserve">Чазова И.Е., </w:t>
            </w:r>
            <w:proofErr w:type="spellStart"/>
            <w:r w:rsidR="00083EAE" w:rsidRPr="00A11F2D">
              <w:rPr>
                <w:sz w:val="24"/>
                <w:szCs w:val="24"/>
              </w:rPr>
              <w:t>Недогода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 С.В., </w:t>
            </w:r>
            <w:proofErr w:type="spellStart"/>
            <w:r w:rsidR="00083EAE" w:rsidRPr="00A11F2D">
              <w:rPr>
                <w:sz w:val="24"/>
                <w:szCs w:val="24"/>
              </w:rPr>
              <w:t>Жернакова</w:t>
            </w:r>
            <w:proofErr w:type="spellEnd"/>
            <w:r w:rsidR="00083EAE" w:rsidRPr="00A11F2D">
              <w:rPr>
                <w:sz w:val="24"/>
                <w:szCs w:val="24"/>
              </w:rPr>
              <w:t xml:space="preserve"> Ю.В., Сусеков А.В, Медведева И.В., Шестакова М.В. Рекомендации по ведению больных артериальной гипертонией с метаболическими нарушениями // Кардиологический вестник.- 2014.- Т.9, №1.- С. 3-57.</w:t>
            </w:r>
          </w:p>
        </w:tc>
      </w:tr>
      <w:tr w:rsidR="00083EAE" w:rsidRPr="00C70809" w:rsidTr="00083EAE">
        <w:tc>
          <w:tcPr>
            <w:tcW w:w="9322" w:type="dxa"/>
          </w:tcPr>
          <w:p w:rsidR="00083EAE" w:rsidRPr="00C70809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31.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Чукаева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И.И., Орлова Н.В., </w:t>
            </w:r>
            <w:proofErr w:type="spellStart"/>
            <w:proofErr w:type="gramStart"/>
            <w:r w:rsidR="00083EAE" w:rsidRPr="00A11F2D">
              <w:rPr>
                <w:sz w:val="24"/>
                <w:szCs w:val="24"/>
                <w:lang w:eastAsia="ru-RU"/>
              </w:rPr>
              <w:t>Хавка</w:t>
            </w:r>
            <w:proofErr w:type="spellEnd"/>
            <w:proofErr w:type="gramEnd"/>
            <w:r w:rsidR="00083EAE" w:rsidRPr="00A11F2D">
              <w:rPr>
                <w:sz w:val="24"/>
                <w:szCs w:val="24"/>
                <w:lang w:eastAsia="ru-RU"/>
              </w:rPr>
              <w:t xml:space="preserve"> Н.Н., Клепикова М.В. Изучение факторов воспаления у больных с метаболическим синдромом // Лечебное дело.- </w:t>
            </w:r>
            <w:r w:rsidR="00083EAE" w:rsidRPr="00C70809">
              <w:rPr>
                <w:sz w:val="24"/>
                <w:szCs w:val="24"/>
                <w:lang w:eastAsia="ru-RU"/>
              </w:rPr>
              <w:t>2010.</w:t>
            </w:r>
            <w:r w:rsidR="00083EAE" w:rsidRPr="00A11F2D">
              <w:rPr>
                <w:sz w:val="24"/>
                <w:szCs w:val="24"/>
                <w:lang w:eastAsia="ru-RU"/>
              </w:rPr>
              <w:t>-</w:t>
            </w:r>
            <w:r w:rsidR="00083EAE" w:rsidRPr="00C70809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>№</w:t>
            </w:r>
            <w:r w:rsidR="00083EAE" w:rsidRPr="00C70809">
              <w:rPr>
                <w:sz w:val="24"/>
                <w:szCs w:val="24"/>
                <w:lang w:eastAsia="ru-RU"/>
              </w:rPr>
              <w:t>4.</w:t>
            </w:r>
            <w:r w:rsidR="00083EAE" w:rsidRPr="00A11F2D">
              <w:rPr>
                <w:sz w:val="24"/>
                <w:szCs w:val="24"/>
                <w:lang w:eastAsia="ru-RU"/>
              </w:rPr>
              <w:t>-</w:t>
            </w:r>
            <w:r w:rsidR="00083EAE" w:rsidRPr="00C70809">
              <w:rPr>
                <w:sz w:val="24"/>
                <w:szCs w:val="24"/>
                <w:lang w:eastAsia="ru-RU"/>
              </w:rPr>
              <w:t xml:space="preserve"> </w:t>
            </w:r>
            <w:r w:rsidR="00083EAE" w:rsidRPr="00A11F2D">
              <w:rPr>
                <w:sz w:val="24"/>
                <w:szCs w:val="24"/>
                <w:lang w:eastAsia="ru-RU"/>
              </w:rPr>
              <w:t>С</w:t>
            </w:r>
            <w:r w:rsidR="00083EAE" w:rsidRPr="00C70809">
              <w:rPr>
                <w:sz w:val="24"/>
                <w:szCs w:val="24"/>
                <w:lang w:eastAsia="ru-RU"/>
              </w:rPr>
              <w:t>.50-56.</w:t>
            </w:r>
          </w:p>
        </w:tc>
      </w:tr>
      <w:tr w:rsidR="00083EAE" w:rsidRPr="00A11F2D" w:rsidTr="00083EAE">
        <w:tc>
          <w:tcPr>
            <w:tcW w:w="9322" w:type="dxa"/>
          </w:tcPr>
          <w:p w:rsidR="00083EAE" w:rsidRPr="00A11F2D" w:rsidRDefault="002E407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32. </w:t>
            </w:r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Чулков В.С., </w:t>
            </w:r>
            <w:proofErr w:type="spellStart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Сумеркина</w:t>
            </w:r>
            <w:proofErr w:type="spellEnd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 В.А., Чулков Вл.С. Оценка взаимосвязи уровней </w:t>
            </w:r>
            <w:proofErr w:type="spellStart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адипокинов</w:t>
            </w:r>
            <w:proofErr w:type="spellEnd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>цитокинов</w:t>
            </w:r>
            <w:proofErr w:type="spellEnd"/>
            <w:r w:rsidR="00083EAE" w:rsidRPr="00A11F2D">
              <w:rPr>
                <w:bCs/>
                <w:iCs/>
                <w:sz w:val="24"/>
                <w:szCs w:val="24"/>
                <w:lang w:eastAsia="ru-RU"/>
              </w:rPr>
              <w:t xml:space="preserve">, маркеров дисфункции эндотелия и показателей гемостаза с состоянием органов-мишеней при сочетании артериальной гипертензии с абдоминальным ожирением у лиц молодого возраста //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In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the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World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of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Scientific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3EAE" w:rsidRPr="00A11F2D">
              <w:rPr>
                <w:sz w:val="24"/>
                <w:szCs w:val="24"/>
                <w:lang w:eastAsia="ru-RU"/>
              </w:rPr>
              <w:t>Discoveries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. - 2016.- </w:t>
            </w:r>
            <w:proofErr w:type="spellStart"/>
            <w:r w:rsidR="00083EAE" w:rsidRPr="00A11F2D">
              <w:rPr>
                <w:sz w:val="24"/>
                <w:szCs w:val="24"/>
                <w:lang w:val="en-US" w:eastAsia="ru-RU"/>
              </w:rPr>
              <w:t>Vol</w:t>
            </w:r>
            <w:proofErr w:type="spellEnd"/>
            <w:r w:rsidR="00083EAE" w:rsidRPr="00A11F2D">
              <w:rPr>
                <w:sz w:val="24"/>
                <w:szCs w:val="24"/>
                <w:lang w:eastAsia="ru-RU"/>
              </w:rPr>
              <w:t xml:space="preserve">. 6(78), </w:t>
            </w:r>
            <w:r w:rsidR="00083EAE" w:rsidRPr="00A11F2D">
              <w:rPr>
                <w:sz w:val="24"/>
                <w:szCs w:val="24"/>
                <w:lang w:val="en-US" w:eastAsia="ru-RU"/>
              </w:rPr>
              <w:t>pp</w:t>
            </w:r>
            <w:r w:rsidR="00083EAE" w:rsidRPr="00A11F2D">
              <w:rPr>
                <w:sz w:val="24"/>
                <w:szCs w:val="24"/>
                <w:lang w:eastAsia="ru-RU"/>
              </w:rPr>
              <w:t>. 64-79.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C70809" w:rsidP="0030135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E407D" w:rsidRPr="002E407D">
              <w:rPr>
                <w:iCs/>
                <w:sz w:val="24"/>
                <w:szCs w:val="24"/>
                <w:lang w:val="en-US"/>
              </w:rPr>
              <w:t xml:space="preserve">33. </w:t>
            </w:r>
            <w:r w:rsidRPr="002E407D">
              <w:rPr>
                <w:iCs/>
                <w:sz w:val="24"/>
                <w:szCs w:val="24"/>
                <w:lang w:val="en-US"/>
              </w:rPr>
              <w:t xml:space="preserve">Ali </w:t>
            </w:r>
            <w:proofErr w:type="spellStart"/>
            <w:r w:rsidRPr="002E407D">
              <w:rPr>
                <w:iCs/>
                <w:sz w:val="24"/>
                <w:szCs w:val="24"/>
                <w:lang w:val="en-US"/>
              </w:rPr>
              <w:t>Ozyol</w:t>
            </w:r>
            <w:proofErr w:type="spellEnd"/>
            <w:r w:rsidRPr="002E407D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407D">
              <w:rPr>
                <w:iCs/>
                <w:sz w:val="24"/>
                <w:szCs w:val="24"/>
                <w:lang w:val="en-US"/>
              </w:rPr>
              <w:t>Oguzhan</w:t>
            </w:r>
            <w:proofErr w:type="spellEnd"/>
            <w:r w:rsidRPr="002E407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07D">
              <w:rPr>
                <w:iCs/>
                <w:sz w:val="24"/>
                <w:szCs w:val="24"/>
                <w:lang w:val="en-US"/>
              </w:rPr>
              <w:t>Yucel</w:t>
            </w:r>
            <w:proofErr w:type="spellEnd"/>
            <w:r w:rsidRPr="002E407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Microalbuminuria</w:t>
            </w:r>
            <w:proofErr w:type="spellEnd"/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is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associated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with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the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severity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of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coronary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artery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disease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independently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of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 xml:space="preserve">other cardiovascular risk </w:t>
            </w:r>
            <w:proofErr w:type="gramStart"/>
            <w:r w:rsidRPr="00A11F2D">
              <w:rPr>
                <w:sz w:val="24"/>
                <w:szCs w:val="24"/>
                <w:lang w:val="en-US"/>
              </w:rPr>
              <w:t xml:space="preserve">factors  </w:t>
            </w:r>
            <w:proofErr w:type="spellStart"/>
            <w:r w:rsidRPr="00A11F2D">
              <w:rPr>
                <w:i/>
                <w:sz w:val="24"/>
                <w:szCs w:val="24"/>
                <w:lang w:val="en-US"/>
              </w:rPr>
              <w:t>Angiology</w:t>
            </w:r>
            <w:proofErr w:type="spellEnd"/>
            <w:proofErr w:type="gramEnd"/>
            <w:r w:rsidRPr="00A11F2D">
              <w:rPr>
                <w:i/>
                <w:sz w:val="24"/>
                <w:szCs w:val="24"/>
                <w:lang w:val="en-US"/>
              </w:rPr>
              <w:t>,  2012, Vol. 63, no. 6, pp. 457–460.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 w:eastAsia="ru-RU"/>
              </w:rPr>
              <w:t xml:space="preserve">34.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Caillon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Mian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M.O.R.,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Fraulob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-Aquino J.C.,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Huo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K.-G.,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Barhoumi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Ouerd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Sinnaeve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P.R.,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Paradis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 P.,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E.L. </w:t>
            </w:r>
            <w:r w:rsidR="00C70809" w:rsidRPr="00A11F2D">
              <w:rPr>
                <w:sz w:val="24"/>
                <w:szCs w:val="24"/>
                <w:lang w:eastAsia="ru-RU"/>
              </w:rPr>
              <w:t>γδ</w:t>
            </w:r>
            <w:r w:rsidR="00C70809" w:rsidRPr="00A11F2D">
              <w:rPr>
                <w:sz w:val="24"/>
                <w:szCs w:val="24"/>
                <w:lang w:val="en-US" w:eastAsia="ru-RU"/>
              </w:rPr>
              <w:t xml:space="preserve"> T cells mediate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angiotensin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II-induced hypertension and vascular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injuryclinical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perspective. </w:t>
            </w:r>
            <w:r w:rsidR="00C70809" w:rsidRPr="00A11F2D">
              <w:rPr>
                <w:i/>
                <w:sz w:val="24"/>
                <w:szCs w:val="24"/>
                <w:lang w:val="en-US" w:eastAsia="ru-RU"/>
              </w:rPr>
              <w:t>Circulation, 2017, Vol. 135, no. 22, pp. 2155-2162.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 w:eastAsia="ru-RU"/>
              </w:rPr>
              <w:t xml:space="preserve">35.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Caillon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E.L. Role of inflammation and immunity in hypertension: Recent epidemiological, laboratory, and clinical evidence. </w:t>
            </w:r>
            <w:proofErr w:type="spellStart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Curr</w:t>
            </w:r>
            <w:proofErr w:type="spellEnd"/>
            <w:r w:rsidR="00C70809" w:rsidRPr="00A11F2D">
              <w:rPr>
                <w:i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. Rep., 2016, Vol. 18, no. 3, pp. 21.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t xml:space="preserve">36.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Dinh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Q.N., Drummond G.R., Kemp-Harper B.K.,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H., De Silva T.M., Kim H.A.,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C.G. 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Pressor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response to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angiotensin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II is enhanced in aged mice and associated with inflammation, vasoconstriction and oxidative stress // </w:t>
            </w:r>
            <w:r w:rsidR="00C70809" w:rsidRPr="00A11F2D">
              <w:rPr>
                <w:rStyle w:val="a5"/>
                <w:sz w:val="24"/>
                <w:szCs w:val="24"/>
                <w:shd w:val="clear" w:color="auto" w:fill="FFFFFF"/>
                <w:lang w:val="en-US"/>
              </w:rPr>
              <w:t>Aging</w:t>
            </w:r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, 2017, Vol. </w:t>
            </w:r>
            <w:r w:rsidR="00C70809" w:rsidRPr="00A11F2D">
              <w:rPr>
                <w:rStyle w:val="a5"/>
                <w:sz w:val="24"/>
                <w:szCs w:val="24"/>
                <w:shd w:val="clear" w:color="auto" w:fill="FFFFFF"/>
                <w:lang w:val="en-US"/>
              </w:rPr>
              <w:t>9</w:t>
            </w:r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(6), pp. 1595-1605.  https://doi.org/10.18632/aging.101255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shd w:val="clear" w:color="auto" w:fill="FAFAFA"/>
                <w:lang w:val="en-US"/>
              </w:rPr>
              <w:t xml:space="preserve">37.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Dzantieva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E.O.,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Khripun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I.A</w:t>
            </w:r>
            <w:proofErr w:type="gram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,  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Vorobev</w:t>
            </w:r>
            <w:proofErr w:type="spellEnd"/>
            <w:proofErr w:type="gram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S.V.,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Gusova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Z.R,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Puzyreva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V.P.,  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Ibishev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Kh.S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.,  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Belousov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I.I.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>Chernyy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A.A. Influence of sex hormones on the formation of endothelial dysfunction and cytokine imbalance in men 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with type 2 diabetes  </w:t>
            </w:r>
            <w:r w:rsidR="00C70809"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>Modern problems of science and education. – 2015. – № 6.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 w:eastAsia="ru-RU"/>
              </w:rPr>
              <w:t xml:space="preserve">38.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Espeli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M., Smith K.G.,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Clatworthy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M.R.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Fc</w:t>
            </w:r>
            <w:proofErr w:type="spellEnd"/>
            <w:r w:rsidR="00C70809" w:rsidRPr="00A11F2D">
              <w:rPr>
                <w:sz w:val="24"/>
                <w:szCs w:val="24"/>
                <w:lang w:eastAsia="ru-RU"/>
              </w:rPr>
              <w:t>γ</w:t>
            </w:r>
            <w:r w:rsidR="00C70809" w:rsidRPr="00A11F2D">
              <w:rPr>
                <w:sz w:val="24"/>
                <w:szCs w:val="24"/>
                <w:lang w:val="en-US" w:eastAsia="ru-RU"/>
              </w:rPr>
              <w:t xml:space="preserve">RIIB and autoimmunity. </w:t>
            </w:r>
            <w:proofErr w:type="spellStart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Immunol</w:t>
            </w:r>
            <w:proofErr w:type="spellEnd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. Rev., 2016, Vol. 269, no. 1, pp. 194-211.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t xml:space="preserve">39.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Fauchais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Lallou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F.,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Lise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M.C.,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Boumediene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Preud’homme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J.L., Vidal E.,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Jauberteau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M.O. Role of endogenous brain-derived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neurotrophic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factor and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sortilin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in B cell survival.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 xml:space="preserve">J. </w:t>
            </w:r>
            <w:proofErr w:type="spellStart"/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Immunol</w:t>
            </w:r>
            <w:proofErr w:type="spellEnd"/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., 2008, Vol. 181, no. 5,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pp. 3027-3038.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rFonts w:eastAsia="TimesNewRoman"/>
                <w:sz w:val="24"/>
                <w:szCs w:val="24"/>
                <w:lang w:val="en-US" w:eastAsia="ru-RU"/>
              </w:rPr>
              <w:t xml:space="preserve">40. </w:t>
            </w:r>
            <w:proofErr w:type="spellStart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>Horigome</w:t>
            </w:r>
            <w:proofErr w:type="spellEnd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H., Katayama Y., </w:t>
            </w:r>
            <w:proofErr w:type="spellStart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>Yoshinaga</w:t>
            </w:r>
            <w:proofErr w:type="spellEnd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M., Kato Y.,</w:t>
            </w:r>
            <w:r w:rsidR="00C70809" w:rsidRPr="00A11F2D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Takahashi H., </w:t>
            </w:r>
            <w:proofErr w:type="spellStart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>Sumazaki</w:t>
            </w:r>
            <w:proofErr w:type="spellEnd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R. Significant associations among</w:t>
            </w:r>
            <w:r w:rsidR="00C70809" w:rsidRPr="00A11F2D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>hemostatic</w:t>
            </w:r>
            <w:proofErr w:type="spellEnd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parameters, </w:t>
            </w:r>
            <w:proofErr w:type="spellStart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>adipokines</w:t>
            </w:r>
            <w:proofErr w:type="spellEnd"/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>, and components of the</w:t>
            </w:r>
            <w:r w:rsidR="00C70809" w:rsidRPr="00A11F2D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metabolic syndrome in Japanese preschool children </w:t>
            </w:r>
            <w:r w:rsidR="00C70809"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>Clinical</w:t>
            </w:r>
            <w:r w:rsidR="00C70809" w:rsidRPr="00A11F2D">
              <w:rPr>
                <w:rFonts w:eastAsia="NimbusCyr"/>
                <w:i/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 xml:space="preserve">and Applied Thrombosis </w:t>
            </w:r>
            <w:proofErr w:type="spellStart"/>
            <w:r w:rsidR="00C70809"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>Hemostasis</w:t>
            </w:r>
            <w:proofErr w:type="spellEnd"/>
            <w:r w:rsidR="00C70809"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>., 2012, Vol. 18,</w:t>
            </w:r>
            <w:r w:rsidR="00C70809" w:rsidRPr="00A11F2D">
              <w:rPr>
                <w:rFonts w:eastAsia="NimbusCyr"/>
                <w:i/>
                <w:sz w:val="24"/>
                <w:szCs w:val="24"/>
                <w:lang w:val="en-US"/>
              </w:rPr>
              <w:t xml:space="preserve"> no</w:t>
            </w:r>
            <w:r w:rsidR="00C70809"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 xml:space="preserve"> 2, pp. 189-194.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t xml:space="preserve">41.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Kobori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H.,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Nangaku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Navar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L.G.,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Nishiyama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A. The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intrarenal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renin-angiotensin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system: From physiology to the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pathobiology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of hypertension and kidney disease. </w:t>
            </w:r>
            <w:proofErr w:type="spellStart"/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Pharmacol</w:t>
            </w:r>
            <w:proofErr w:type="spellEnd"/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. Rev., 2007, Vol. 59, no. 3, pp. 251-287.</w:t>
            </w:r>
          </w:p>
        </w:tc>
      </w:tr>
      <w:tr w:rsidR="00C70809" w:rsidRPr="009F7447" w:rsidTr="00C70809">
        <w:tc>
          <w:tcPr>
            <w:tcW w:w="9322" w:type="dxa"/>
          </w:tcPr>
          <w:p w:rsidR="00C70809" w:rsidRPr="00A11F2D" w:rsidRDefault="002E407D" w:rsidP="00A11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t xml:space="preserve">42. </w:t>
            </w:r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Krishnan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Shalini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M.; Ling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Yeong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Huuskes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Brooke M.;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Ferens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Dorota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M.;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Saini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Narbada; Chan Christopher T.;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Henry;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Kett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Michelle M.; Samuel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Chrishan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S.; Kemp-Harper Barbara K.; Robertson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Avril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A.B.; Cooper Matthew A.; Peter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Karlheinz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Latz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Eicke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Mansell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Ashley S.;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Christopher G.; Drummond Grant R.;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Vinh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Antony.  Pharmacological inhibition of the NLRP3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inflammasome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reduces blood pressure, renal damage, and dysfunction in salt-sensitive hypertension. </w:t>
            </w:r>
            <w:r w:rsidR="00C70809" w:rsidRPr="00A11F2D">
              <w:rPr>
                <w:rStyle w:val="tr-popupvalue"/>
                <w:i/>
                <w:sz w:val="24"/>
                <w:szCs w:val="24"/>
                <w:shd w:val="clear" w:color="auto" w:fill="FFFFFF"/>
                <w:lang w:val="en-US"/>
              </w:rPr>
              <w:t>Cardiovascular Research</w:t>
            </w:r>
            <w:r w:rsidR="00C70809"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="00C70809" w:rsidRPr="00A11F2D">
              <w:rPr>
                <w:i/>
                <w:sz w:val="24"/>
                <w:szCs w:val="24"/>
                <w:lang w:val="en-US"/>
              </w:rPr>
              <w:t>2019; Vol. 115, pp. 776-787.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2E407D" w:rsidP="00A11F2D">
            <w:pPr>
              <w:autoSpaceDE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 w:eastAsia="ru-RU"/>
              </w:rPr>
              <w:t xml:space="preserve">43. </w:t>
            </w:r>
            <w:r w:rsidR="00C70809" w:rsidRPr="00A11F2D">
              <w:rPr>
                <w:sz w:val="24"/>
                <w:szCs w:val="24"/>
                <w:lang w:val="en-US" w:eastAsia="ru-RU"/>
              </w:rPr>
              <w:t xml:space="preserve">Liu X., Zhang Q., Wu H., Du H., Liu L., Shi H., Wang C., Xia Y.,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Guo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X., Li C.,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Bao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X., Su Q., Sun S., Wang X., Zhou M.,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Jia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Q., Zhao H., Song K.,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Niu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K. Blood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neutrophil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to lymphocyte ratio as a predictor of hypertension </w:t>
            </w:r>
            <w:r w:rsidR="00C70809" w:rsidRPr="00A11F2D">
              <w:rPr>
                <w:i/>
                <w:sz w:val="24"/>
                <w:szCs w:val="24"/>
                <w:lang w:val="en-US" w:eastAsia="ru-RU"/>
              </w:rPr>
              <w:t xml:space="preserve">Am. J. </w:t>
            </w:r>
            <w:proofErr w:type="spellStart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., 2015, Vol. 28, no. 11, pp. 1339-1346.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lastRenderedPageBreak/>
              <w:t xml:space="preserve">44.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M.S., Lob H.E., McCann L.A.,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Iwakura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Y., Blinder Y.,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Guzik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T.J., </w:t>
            </w:r>
            <w:proofErr w:type="gramStart"/>
            <w:r w:rsidR="00C70809" w:rsidRPr="00A11F2D">
              <w:rPr>
                <w:sz w:val="24"/>
                <w:szCs w:val="24"/>
                <w:lang w:val="en-US"/>
              </w:rPr>
              <w:t>Harrison</w:t>
            </w:r>
            <w:proofErr w:type="gramEnd"/>
            <w:r w:rsidR="00C70809" w:rsidRPr="00A11F2D">
              <w:rPr>
                <w:sz w:val="24"/>
                <w:szCs w:val="24"/>
                <w:lang w:val="en-US"/>
              </w:rPr>
              <w:t xml:space="preserve"> D.G. Interleukin 17 promotes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angiotensin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II-induced hypertension and vascular dysfunction.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Hypertension, 2010, Vol. 55, no. 2,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pp. 500-507.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t xml:space="preserve">45. 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Marko L.,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Kvakan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H., Park J.K.,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Qadri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F.,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Spallek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B., Binger K.J., Bowman E.P.,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Kleinewietfeld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Fokuhl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V.,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Dechend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R., Muller D.N. Interferon-gamma signaling inhibition ameliorates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angiotensin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II-induced cardiac damage.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Hypertension, 2012, Vol. 60, no. 6, pp. 1430-1436.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 w:eastAsia="ru-RU"/>
              </w:rPr>
              <w:t xml:space="preserve">46.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Mian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M.O.,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Barhoumi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Briet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M.,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Paradis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P., </w:t>
            </w:r>
            <w:proofErr w:type="spellStart"/>
            <w:proofErr w:type="gramStart"/>
            <w:r w:rsidR="00C70809" w:rsidRPr="00A11F2D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proofErr w:type="gram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E.L. Deficiency of t-regulatory cells exaggerates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angiotensin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II-induced </w:t>
            </w:r>
            <w:proofErr w:type="spellStart"/>
            <w:r w:rsidR="00C70809" w:rsidRPr="00A11F2D">
              <w:rPr>
                <w:sz w:val="24"/>
                <w:szCs w:val="24"/>
                <w:lang w:val="en-US" w:eastAsia="ru-RU"/>
              </w:rPr>
              <w:t>microvascular</w:t>
            </w:r>
            <w:proofErr w:type="spellEnd"/>
            <w:r w:rsidR="00C70809" w:rsidRPr="00A11F2D">
              <w:rPr>
                <w:sz w:val="24"/>
                <w:szCs w:val="24"/>
                <w:lang w:val="en-US" w:eastAsia="ru-RU"/>
              </w:rPr>
              <w:t xml:space="preserve"> injury by enhancing immune responses. </w:t>
            </w:r>
            <w:r w:rsidR="00C70809" w:rsidRPr="00A11F2D">
              <w:rPr>
                <w:i/>
                <w:sz w:val="24"/>
                <w:szCs w:val="24"/>
                <w:lang w:val="en-US" w:eastAsia="ru-RU"/>
              </w:rPr>
              <w:t xml:space="preserve">J. </w:t>
            </w:r>
            <w:proofErr w:type="spellStart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="00C70809" w:rsidRPr="00A11F2D">
              <w:rPr>
                <w:i/>
                <w:sz w:val="24"/>
                <w:szCs w:val="24"/>
                <w:lang w:val="en-US" w:eastAsia="ru-RU"/>
              </w:rPr>
              <w:t>., 2016, Vol. 34, no. 1, pp. 97-108.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2E407D" w:rsidP="002E40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t xml:space="preserve">47. </w:t>
            </w:r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Moore J. P.,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Vinh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, A., Tuck K. L.,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Sakkal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S., Krishnan, S., Chan C., Lieu M., Samuel C. S.,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H., Harper B. K., Tare M., Ricardo S.D.,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Guzik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T.J.,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C.G.</w:t>
            </w: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Drummond G.R., M2 macrophage accumulation in the aortic wall during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angiotensin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II infusion in mice is associated with fibrosis, </w:t>
            </w:r>
            <w:proofErr w:type="spellStart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>elastin</w:t>
            </w:r>
            <w:proofErr w:type="spellEnd"/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loss, and elevated blood pressure</w:t>
            </w:r>
            <w:r w:rsidR="0066215E" w:rsidRPr="0066215E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C70809"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 w:rsidR="00C70809"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>American Journal of Physiology - Heart and Circulatory Physiology.,  2015, Vol. 309,  no.5, pp. 906 - 917.</w:t>
            </w:r>
          </w:p>
        </w:tc>
      </w:tr>
      <w:tr w:rsidR="00C70809" w:rsidRPr="0066215E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t xml:space="preserve">48.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M.S., Harrison D.G. The immunology of hypertension.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J. Exp. Med., 2018, Vol. 215, no. 1, p. 21.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t xml:space="preserve">49.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Saleh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Pandey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A.K.,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Itani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H.A., Wu J., Xiao L., Kang J., Dale B.L.,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Goleva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S.B.,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Laroumanie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F., Du L., Harrison D.G.,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M.S. A salt-sensing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kinase</w:t>
            </w:r>
            <w:proofErr w:type="spellEnd"/>
            <w:r w:rsidR="00C70809" w:rsidRPr="00A11F2D">
              <w:rPr>
                <w:sz w:val="24"/>
                <w:szCs w:val="24"/>
                <w:lang w:val="en-US"/>
              </w:rPr>
              <w:t xml:space="preserve"> in T lymphocytes, SGK1, drives hypertension and hypertensive end-organ damage.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 xml:space="preserve">JCI Insight, 2017, Vol. 2, no. 13, e92801. </w:t>
            </w:r>
            <w:proofErr w:type="spellStart"/>
            <w:proofErr w:type="gramStart"/>
            <w:r w:rsidR="00C70809" w:rsidRPr="00A11F2D">
              <w:rPr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="00C70809" w:rsidRPr="00A11F2D">
              <w:rPr>
                <w:sz w:val="24"/>
                <w:szCs w:val="24"/>
                <w:lang w:val="en-US"/>
              </w:rPr>
              <w:t>: 10.1172/jci.insight.92801.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lang w:val="en-US"/>
              </w:rPr>
              <w:t xml:space="preserve">50. 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O’Shea J.J., Paul W.E. Mechanisms underlying lineage commitment and plasticity of helper CD4+ T cells. </w:t>
            </w:r>
            <w:r w:rsidR="00C70809" w:rsidRPr="00A11F2D">
              <w:rPr>
                <w:i/>
                <w:iCs/>
                <w:sz w:val="24"/>
                <w:szCs w:val="24"/>
                <w:lang w:val="en-US"/>
              </w:rPr>
              <w:t>Science, 2010, Vol. 327, no. 5969, pp. 1098-1102.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51.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Rubtsova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K.,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Rubtsov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A.V.,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Cancro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M.P.,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Marrack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P. Age-associated B cells: a T-bet-dependent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effector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with roles in protective and pathogenic immunity. </w:t>
            </w:r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J </w:t>
            </w:r>
            <w:proofErr w:type="spellStart"/>
            <w:proofErr w:type="gramStart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Immunol</w:t>
            </w:r>
            <w:proofErr w:type="spellEnd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.,</w:t>
            </w:r>
            <w:proofErr w:type="gramEnd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2015, Vol. 195(5), pp. 1933-1937.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C70809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lang w:val="en-US"/>
              </w:rPr>
              <w:t xml:space="preserve"> </w:t>
            </w:r>
            <w:r w:rsidR="002E407D" w:rsidRPr="002E407D">
              <w:rPr>
                <w:sz w:val="24"/>
                <w:szCs w:val="24"/>
                <w:lang w:val="en-US"/>
              </w:rPr>
              <w:t xml:space="preserve">52.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Saleh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M.A., McMaster W.G., Wu J.,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Funt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Thabet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S.R.,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Kirabo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A., Xiao L., Chen W.,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Itani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H.A.,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Michell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Huan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T., Zhang Y.,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Takaki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Titze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J., Levy D., Harrison D.G.,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M.S. Lymphocyte adaptor protein LNK deficiency exacerbates hypertension and end-organ inflammation.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11F2D">
              <w:rPr>
                <w:i/>
                <w:iCs/>
                <w:sz w:val="24"/>
                <w:szCs w:val="24"/>
                <w:lang w:val="en-US"/>
              </w:rPr>
              <w:t>Clin</w:t>
            </w:r>
            <w:proofErr w:type="spellEnd"/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11F2D">
              <w:rPr>
                <w:i/>
                <w:iCs/>
                <w:sz w:val="24"/>
                <w:szCs w:val="24"/>
                <w:lang w:val="en-US"/>
              </w:rPr>
              <w:t>Invest.,</w:t>
            </w:r>
            <w:proofErr w:type="gramEnd"/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 2015,</w:t>
            </w:r>
            <w:r w:rsidRPr="00A11F2D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Vol. 125, no. 3, pp. 1189-1202.</w:t>
            </w:r>
          </w:p>
        </w:tc>
      </w:tr>
      <w:tr w:rsidR="00C70809" w:rsidRPr="009F7447" w:rsidTr="00C70809">
        <w:tc>
          <w:tcPr>
            <w:tcW w:w="9322" w:type="dxa"/>
          </w:tcPr>
          <w:p w:rsidR="00C70809" w:rsidRPr="00A11F2D" w:rsidRDefault="002E407D" w:rsidP="0066215E">
            <w:pPr>
              <w:pStyle w:val="a6"/>
              <w:shd w:val="clear" w:color="auto" w:fill="FCFCFC"/>
              <w:spacing w:before="0" w:beforeAutospacing="0" w:after="0" w:afterAutospacing="0"/>
              <w:jc w:val="both"/>
              <w:rPr>
                <w:lang w:val="en-US"/>
              </w:rPr>
            </w:pPr>
            <w:r w:rsidRPr="002E407D">
              <w:rPr>
                <w:shd w:val="clear" w:color="auto" w:fill="FFFFFF"/>
                <w:lang w:val="en-US"/>
              </w:rPr>
              <w:t xml:space="preserve">53. </w:t>
            </w:r>
            <w:proofErr w:type="spellStart"/>
            <w:r w:rsidR="00C70809" w:rsidRPr="00A11F2D">
              <w:rPr>
                <w:shd w:val="clear" w:color="auto" w:fill="FFFFFF"/>
                <w:lang w:val="en-US"/>
              </w:rPr>
              <w:t>Selvaraj</w:t>
            </w:r>
            <w:proofErr w:type="spellEnd"/>
            <w:r w:rsidR="00C70809" w:rsidRPr="00A11F2D">
              <w:rPr>
                <w:shd w:val="clear" w:color="auto" w:fill="FFFFFF"/>
                <w:lang w:val="en-US"/>
              </w:rPr>
              <w:t xml:space="preserve"> U. M., </w:t>
            </w:r>
            <w:proofErr w:type="spellStart"/>
            <w:r w:rsidR="00C70809" w:rsidRPr="00A11F2D">
              <w:rPr>
                <w:shd w:val="clear" w:color="auto" w:fill="FFFFFF"/>
                <w:lang w:val="en-US"/>
              </w:rPr>
              <w:t>Poinsatte</w:t>
            </w:r>
            <w:proofErr w:type="spellEnd"/>
            <w:r w:rsidR="00C70809" w:rsidRPr="00A11F2D">
              <w:rPr>
                <w:shd w:val="clear" w:color="auto" w:fill="FFFFFF"/>
                <w:lang w:val="en-US"/>
              </w:rPr>
              <w:t xml:space="preserve"> K., Torres V.  Heterogeneity of B Cell Functions in Stroke-Related Risk, Prevention, Injury, and Repair. </w:t>
            </w:r>
            <w:hyperlink r:id="rId4" w:tooltip="Neurotherapeutics" w:history="1">
              <w:proofErr w:type="spellStart"/>
              <w:r w:rsidR="00C70809" w:rsidRPr="00A11F2D">
                <w:rPr>
                  <w:rStyle w:val="journaltitle"/>
                  <w:i/>
                  <w:spacing w:val="2"/>
                  <w:lang w:val="en-US"/>
                </w:rPr>
                <w:t>Neurotherapeutics</w:t>
              </w:r>
              <w:proofErr w:type="spellEnd"/>
            </w:hyperlink>
            <w:r w:rsidR="00C70809" w:rsidRPr="00A11F2D">
              <w:rPr>
                <w:i/>
                <w:spacing w:val="2"/>
                <w:lang w:val="en-US"/>
              </w:rPr>
              <w:t xml:space="preserve">. </w:t>
            </w:r>
            <w:r w:rsidR="00C70809" w:rsidRPr="00A11F2D">
              <w:rPr>
                <w:i/>
                <w:shd w:val="clear" w:color="auto" w:fill="FFFFFF"/>
                <w:lang w:val="en-US"/>
              </w:rPr>
              <w:t>2016, Volume 13, Issue 4, pp 729–747.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54. </w:t>
            </w:r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Singh M.V.,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Chapleau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M.W.,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Harwani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S.C.,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Abboud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F.M. The immune system and hypertension. </w:t>
            </w:r>
            <w:proofErr w:type="spellStart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Immunol</w:t>
            </w:r>
            <w:proofErr w:type="spellEnd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 Res., 2014</w:t>
            </w:r>
            <w:proofErr w:type="gramStart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,  Vol</w:t>
            </w:r>
            <w:proofErr w:type="gramEnd"/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 59 (1-3), pp. 243-253.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iCs/>
                <w:sz w:val="24"/>
                <w:szCs w:val="24"/>
                <w:lang w:val="en-US"/>
              </w:rPr>
              <w:t xml:space="preserve">55. </w:t>
            </w:r>
            <w:proofErr w:type="spellStart"/>
            <w:r w:rsidR="00C70809" w:rsidRPr="00A11F2D">
              <w:rPr>
                <w:iCs/>
                <w:sz w:val="24"/>
                <w:szCs w:val="24"/>
                <w:lang w:val="en-US"/>
              </w:rPr>
              <w:t>Slarma</w:t>
            </w:r>
            <w:proofErr w:type="spellEnd"/>
            <w:r w:rsidR="00C70809" w:rsidRPr="00A11F2D">
              <w:rPr>
                <w:i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="00C70809" w:rsidRPr="00A11F2D">
              <w:rPr>
                <w:iCs/>
                <w:sz w:val="24"/>
                <w:szCs w:val="24"/>
                <w:lang w:val="en-US"/>
              </w:rPr>
              <w:t>Chalaut</w:t>
            </w:r>
            <w:proofErr w:type="spellEnd"/>
            <w:r w:rsidR="00C70809" w:rsidRPr="00A11F2D">
              <w:rPr>
                <w:iCs/>
                <w:sz w:val="24"/>
                <w:szCs w:val="24"/>
                <w:lang w:val="en-US"/>
              </w:rPr>
              <w:t xml:space="preserve"> Vs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. et al. </w:t>
            </w:r>
            <w:proofErr w:type="spellStart"/>
            <w:r w:rsidR="00C70809" w:rsidRPr="00A11F2D">
              <w:rPr>
                <w:sz w:val="24"/>
                <w:szCs w:val="24"/>
                <w:lang w:val="en-US"/>
              </w:rPr>
              <w:t>Microalbuminuria</w:t>
            </w:r>
            <w:proofErr w:type="spellEnd"/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and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C</w:t>
            </w:r>
            <w:r w:rsidR="00C70809" w:rsidRPr="00C70809">
              <w:rPr>
                <w:sz w:val="24"/>
                <w:szCs w:val="24"/>
                <w:lang w:val="en-US"/>
              </w:rPr>
              <w:t>-</w:t>
            </w:r>
            <w:r w:rsidR="00C70809" w:rsidRPr="00A11F2D">
              <w:rPr>
                <w:sz w:val="24"/>
                <w:szCs w:val="24"/>
                <w:lang w:val="en-US"/>
              </w:rPr>
              <w:t>reactive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protein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as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a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predictor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of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coronary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artery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disease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in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patient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of</w:t>
            </w:r>
            <w:r w:rsidR="00C70809" w:rsidRPr="00C70809">
              <w:rPr>
                <w:sz w:val="24"/>
                <w:szCs w:val="24"/>
                <w:lang w:val="en-US"/>
              </w:rPr>
              <w:t xml:space="preserve"> </w:t>
            </w:r>
            <w:r w:rsidR="00C70809" w:rsidRPr="00A11F2D">
              <w:rPr>
                <w:sz w:val="24"/>
                <w:szCs w:val="24"/>
                <w:lang w:val="en-US"/>
              </w:rPr>
              <w:t>acute chest pain</w:t>
            </w:r>
            <w:r w:rsidR="0066215E" w:rsidRPr="0066215E">
              <w:rPr>
                <w:sz w:val="24"/>
                <w:szCs w:val="24"/>
                <w:lang w:val="en-US"/>
              </w:rPr>
              <w:t>.</w:t>
            </w:r>
            <w:r w:rsidR="00C70809" w:rsidRPr="00A11F2D">
              <w:rPr>
                <w:sz w:val="24"/>
                <w:szCs w:val="24"/>
                <w:lang w:val="en-US"/>
              </w:rPr>
              <w:t xml:space="preserve">  </w:t>
            </w:r>
            <w:r w:rsidR="00C70809" w:rsidRPr="00A11F2D">
              <w:rPr>
                <w:i/>
                <w:sz w:val="24"/>
                <w:szCs w:val="24"/>
                <w:lang w:val="en-US"/>
              </w:rPr>
              <w:t>J. Cardiovascular Disease Research., 2013, Vol. 4 (1), pp. 37–39.</w:t>
            </w:r>
          </w:p>
        </w:tc>
      </w:tr>
      <w:tr w:rsidR="00C70809" w:rsidRPr="009A026D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rFonts w:eastAsia="TimesNewRomanPSMT"/>
                <w:sz w:val="24"/>
                <w:szCs w:val="24"/>
                <w:lang w:val="en-US"/>
              </w:rPr>
              <w:t xml:space="preserve">56. </w:t>
            </w:r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 xml:space="preserve">Vargas K.G., </w:t>
            </w:r>
            <w:proofErr w:type="spellStart"/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>Kassem</w:t>
            </w:r>
            <w:proofErr w:type="spellEnd"/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M., Mueller C., </w:t>
            </w:r>
            <w:proofErr w:type="spellStart"/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>Wojta</w:t>
            </w:r>
            <w:proofErr w:type="spellEnd"/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J., Huber K. </w:t>
            </w:r>
            <w:proofErr w:type="spellStart"/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>Copeptin</w:t>
            </w:r>
            <w:proofErr w:type="spellEnd"/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for the early rule-out of non-ST-elevation myocardial infarction</w:t>
            </w:r>
            <w:r w:rsidR="0066215E" w:rsidRPr="0066215E">
              <w:rPr>
                <w:rFonts w:eastAsia="TimesNewRomanPSMT"/>
                <w:sz w:val="24"/>
                <w:szCs w:val="24"/>
                <w:lang w:val="en-US"/>
              </w:rPr>
              <w:t>.</w:t>
            </w:r>
            <w:r w:rsidR="00C70809"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 </w:t>
            </w:r>
            <w:r w:rsidR="00C70809" w:rsidRPr="00A11F2D">
              <w:rPr>
                <w:rFonts w:eastAsia="TimesNewRomanPSMT"/>
                <w:i/>
                <w:sz w:val="24"/>
                <w:szCs w:val="24"/>
                <w:lang w:val="en-US"/>
              </w:rPr>
              <w:t xml:space="preserve">Int. J. </w:t>
            </w:r>
            <w:proofErr w:type="spellStart"/>
            <w:r w:rsidR="00C70809" w:rsidRPr="00A11F2D">
              <w:rPr>
                <w:rFonts w:eastAsia="TimesNewRomanPSMT"/>
                <w:i/>
                <w:sz w:val="24"/>
                <w:szCs w:val="24"/>
                <w:lang w:val="en-US"/>
              </w:rPr>
              <w:t>Cardiol</w:t>
            </w:r>
            <w:proofErr w:type="spellEnd"/>
            <w:r w:rsidR="00C70809" w:rsidRPr="00A11F2D">
              <w:rPr>
                <w:rFonts w:eastAsia="TimesNewRomanPSMT"/>
                <w:i/>
                <w:sz w:val="24"/>
                <w:szCs w:val="24"/>
                <w:lang w:val="en-US"/>
              </w:rPr>
              <w:t>., 2016, no. 23, Vol. 223, pp. 797-804.</w:t>
            </w:r>
          </w:p>
        </w:tc>
      </w:tr>
      <w:tr w:rsidR="00C70809" w:rsidRPr="00C70809" w:rsidTr="00C70809">
        <w:tc>
          <w:tcPr>
            <w:tcW w:w="9322" w:type="dxa"/>
          </w:tcPr>
          <w:p w:rsidR="00C70809" w:rsidRPr="00A11F2D" w:rsidRDefault="002E407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57.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Winer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D.A.,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Winer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S.,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Chng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M.H.,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Shen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L., </w:t>
            </w:r>
            <w:proofErr w:type="spellStart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Engleman</w:t>
            </w:r>
            <w:proofErr w:type="spellEnd"/>
            <w:r w:rsidR="00C70809"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E.G. B Lymphocytes in obesity-related adipose tissue inflammation and insulin resistance. </w:t>
            </w:r>
            <w:r w:rsidR="00C70809"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Cell. Mol. Life Sci., 2014, Vol. 71(6), pp. 1033-1043.</w:t>
            </w:r>
          </w:p>
        </w:tc>
      </w:tr>
    </w:tbl>
    <w:p w:rsidR="00A11F2D" w:rsidRPr="00C70809" w:rsidRDefault="00A11F2D" w:rsidP="00A11F2D">
      <w:pPr>
        <w:pStyle w:val="Default"/>
        <w:suppressAutoHyphens w:val="0"/>
        <w:autoSpaceDE w:val="0"/>
        <w:ind w:firstLine="284"/>
        <w:jc w:val="both"/>
        <w:rPr>
          <w:rFonts w:eastAsia="TimesNewRomanPS-BoldMT-Identity" w:cs="Times New Roman"/>
          <w:b/>
          <w:bCs/>
          <w:lang w:eastAsia="ru-RU"/>
        </w:rPr>
      </w:pPr>
    </w:p>
    <w:p w:rsidR="00083EAE" w:rsidRDefault="00083EAE" w:rsidP="00E9595A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EAE" w:rsidRDefault="00083EAE" w:rsidP="00E9595A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26D" w:rsidRDefault="009A026D" w:rsidP="009A026D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26D" w:rsidRDefault="009A026D" w:rsidP="009A026D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26D" w:rsidRPr="00E9595A" w:rsidRDefault="009A026D" w:rsidP="009A026D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9595A">
        <w:rPr>
          <w:rFonts w:ascii="Times New Roman" w:hAnsi="Times New Roman"/>
          <w:b/>
          <w:sz w:val="24"/>
          <w:szCs w:val="24"/>
          <w:lang w:val="en-US"/>
        </w:rPr>
        <w:lastRenderedPageBreak/>
        <w:t>Reference</w:t>
      </w:r>
    </w:p>
    <w:p w:rsidR="009A026D" w:rsidRPr="00A11F2D" w:rsidRDefault="009A026D" w:rsidP="009A026D">
      <w:pPr>
        <w:pStyle w:val="Default"/>
        <w:suppressAutoHyphens w:val="0"/>
        <w:autoSpaceDE w:val="0"/>
        <w:ind w:firstLine="284"/>
        <w:jc w:val="center"/>
        <w:rPr>
          <w:rFonts w:eastAsia="TimesNewRomanPS-BoldMT-Identity" w:cs="Times New Roman"/>
          <w:b/>
          <w:bCs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322"/>
      </w:tblGrid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C70809">
              <w:rPr>
                <w:sz w:val="24"/>
                <w:szCs w:val="24"/>
                <w:lang w:val="en-US"/>
              </w:rPr>
              <w:t>Afonasyeva</w:t>
            </w:r>
            <w:proofErr w:type="spellEnd"/>
            <w:r w:rsidRPr="00C70809">
              <w:rPr>
                <w:sz w:val="24"/>
                <w:szCs w:val="24"/>
                <w:lang w:val="en-US"/>
              </w:rPr>
              <w:t xml:space="preserve"> T.M. </w:t>
            </w:r>
            <w:r w:rsidRPr="00E9595A">
              <w:rPr>
                <w:sz w:val="24"/>
                <w:szCs w:val="24"/>
                <w:lang w:val="en-US"/>
              </w:rPr>
              <w:t>Endothelial dysfunction. Opportunities for early diagnosis // The Journal of scientific articles “Health and Education Millennium”, 2016. Vol. 18.</w:t>
            </w:r>
            <w:r>
              <w:rPr>
                <w:sz w:val="24"/>
                <w:szCs w:val="24"/>
              </w:rPr>
              <w:t xml:space="preserve"> </w:t>
            </w:r>
            <w:r w:rsidRPr="00E9595A">
              <w:rPr>
                <w:sz w:val="24"/>
                <w:szCs w:val="24"/>
                <w:lang w:val="en-US"/>
              </w:rPr>
              <w:t>No 11. pp.101-104.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Bespalova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Ryazantseva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Kalyuzhin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Murashev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B.Yu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Osikhov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Medyantsev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Afanasyeva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D.S. Subpopulations and metabolic activity of blood mononuclear cells in metabolic syndrome // Medical Immunology. 2014, V. 16, No. 4. pp. 345-352.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Bigaeva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D.U.,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Daurova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Gatagonova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T.M.,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Bolieva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L.Z. Features of structural and functional changes in the cardiovascular system in patients with arterial hypertension and chronic obstructive pulmonary disease // Modern problems of science and education. 2014. No4.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Boyarinova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Rotar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O.P.,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Konradi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A.O.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Adipokines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cardiometabolic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syndrome // Arterial hypertension. 2014. Vol. 20, No. 5. </w:t>
            </w:r>
            <w:proofErr w:type="spellStart"/>
            <w:r w:rsidRPr="00E9595A">
              <w:rPr>
                <w:sz w:val="24"/>
                <w:szCs w:val="24"/>
              </w:rPr>
              <w:t>рр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 422-432.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Bulaeva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Golukhova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E.Z. Endothelial dysfunction and oxidative stress: a role in the development of cardiovascular pathology / Creative cardiology. 2013. No1. pp.14-22.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Vershinina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Reut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Gapon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Busarova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Tretyakova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Kopylova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Plyusnin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A.V. Comparative efficacy of combined antihypertensive therapy in patients with arterial hypertension in combination with metabolic disorders // Medical Science and Education of the Urals. 2013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.Volume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14, No 3 (75).  pp. 14-17.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Gerasimova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Oleinikov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Eliseeva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I.V. Peculiarities of the course of arterial hypertension and target organ damage in the metabolic syndrome // Cardiology. 2008.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no.3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 pp. 22-29.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Ionov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Zvartau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Konradi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A.O. Joint clinical recommendations of ESH / ESC 2018 for the diagnosis and management of patients with arterial hypertension: a first look // Arterial hypertension. 2018.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no.24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(3), pp.351-358.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Islamgaleeva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Z.M.,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Mingazetdinova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Kabilova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Bakirov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A.B. The relationship of endothelial dysfunction with polymorphism of the SELP and VEGF genes in women with metabolic syndrome and arterial hypertension // Medical Journal of Bashkortostan. 2017. Vol. 12, No. 6 (72), pp. 21-26.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Knyazeva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Shishova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Goryainov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I.I. The effect of therapy on markers of subclinical inflammation and stiffness of the vascular bed in patients with arterial hypertension with metabolic syndrome // Modern problems of science and education - 2012 - No. 6 - P. 267.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11.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Kryukov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Ginzburg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Kiseleva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A modern view of the role of aseptic inflammation of adipose tissue in the genesis of obesity and metabolic syndrome // Arterial hypertension. 2013. Volume 19, No. 4. pp. 305-310.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12.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Litvinova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Kirienkova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Aksenova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Gazatova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Zatolokin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P.A. Features of cellular immunity and cytokine repertoire in patients with metabolic syndrome // Bulletin of Siberian medicine, 2012, No. 3,  pp. 53-57.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13.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Lyndina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M.L.,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Shishkin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Teslya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O.V. Features of early diagnosis of endothelial dysfunction in patients with metabolic syndrome // Bulletin of St. Petersburg State University. Ser. 11. 2014. Vol. 3, pp. 56-64.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14.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Mamedov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Gorbunov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Kiseleva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Oganov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R.G. Features of structural and functional changes in the myocardium and hemodynamic disorders in patients with metabolic syndrome: the contribution of arterial hypertension to the formation of total coronary risk //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Cardiological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Bulletin. 2005. No. 1. P. 11–16.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15. </w:t>
            </w:r>
            <w:r w:rsidRPr="00E9595A">
              <w:rPr>
                <w:sz w:val="24"/>
                <w:szCs w:val="24"/>
                <w:lang w:val="en-US"/>
              </w:rPr>
              <w:t xml:space="preserve">Markov H.M. Molecular mechanisms of vascular endothelial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dysfunction  /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/ Cardiology. - 2005. - No. 12. -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pp.62-67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16.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Nevzorova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Pomogalova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Nastradin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O.V. The role of endothelial dysfunction in the progression of the metabolic syndrome from risk factors to vascular accidents // Pacific 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>Medical Journal, 2008, No. 3. pp. 69-74.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lastRenderedPageBreak/>
              <w:t xml:space="preserve">17.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Polozova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Mamkina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Seskina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Puzanova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Abramova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Azizova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E.Z. Diastolic dysfunction of the left ventricle in patients with metabolic syndrome and arterial hypertension // XLVI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Ogaryovskiy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reading: materials scientific. conf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. :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in 3 hours. Part 2: Natural sciences / ed. for issue. P.V.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Senin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 Saransk: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Mordov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state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Univ., 2018. S.352-357.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18.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Polozova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Sorokina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Seskina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Puzanova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Azizova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E.Z.,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Abramova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S.G. New opportunities for the diagnosis of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cardiorenal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disorders in metabolic syndrome // Innovations in education and medicine. Materials of the V All-Russian scientific-practical conference with international participation. Makhachkala, 2018.S. 235-240.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19.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Polozova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Sorokina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Chegodaeva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Trokhina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Seskina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Puzanova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The study of renal dysfunction in patients with arterial hypertension and metabolic syndrome // Materials of the VI Eurasian Congress of Cardiology. Moscow. April 18-19, 2018, pp. 10-11.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20.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Prokudina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Maslov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Ivanov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Bespalova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I.D., Written D.S.,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Voronkov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N.S. The role of reactive oxygen species in the pathogenesis of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adipocyte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dysfunction in the metabolic syndrome: prospects for pharmacological correction //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Vestnik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RAMN. 2017. 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no.72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(1). pp. 11-16.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21.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Salikhova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A.F. Immunological aspects of the pathogenesis of arterial hypertension in the metabolic syndrome // Kazan Medical Journal, 2014, Vol. 95, No. 3. pp. 322-325.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22.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Sergeeva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Rodionova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A.Yu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 A modern approach to the assessment of arterial hypertension in combination with metabolic disorders // Arterial hypertension. 2013. Volume 19, No. 5. pp.397-404.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23.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Sidelnikova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Yakusevich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Petrochenko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Tikhomirova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Petrochenko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E.P. Features of rheological and microcirculatory parameters in patients with metabolic syndrome // Yaroslavl Pedagogical Bulletin, 2012, no. 2, Vol.3 (Natural Sciences)., pp. 91-97.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24.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Ozhigina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The state of the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hemostatic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system and the cytokine profile in patients with metabolic syndrome // Kazan Medical Journal, 2015, Vol. 96, no.5. pp. 728-734.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25.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Golovneva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Telesheva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L.F. Markers of endothelial dysfunction and the cytokine profile in patients with metabolic syndrome and abdominal obesity // Clinical Laboratory Diagnostics. 2016. Vol. 61 (7). </w:t>
            </w:r>
            <w:proofErr w:type="spellStart"/>
            <w:r w:rsidRPr="00E9595A">
              <w:rPr>
                <w:sz w:val="24"/>
                <w:szCs w:val="24"/>
              </w:rPr>
              <w:t>рр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 408-412.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26.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Vl.S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 Gender features of the blood coagulation system, carbohydrate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dipid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metabolism in metabolic syndrome and isolated abdominal obesity // Bulletin of the Samara Scientific Center of the Russian Academy of Sciences, 2014. Volume 16, No. 5 (4), pp. 1422-1426.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27.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Timasheva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Y.R. Immunological aspects of essential hypertension // Medical immunology. 2019. no. 21 (3). pp. 407-418.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28.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Feoktistova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B.C.,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Vavilova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T.B.,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Sirotkina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Baldueva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Gaykovaya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Leonova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Laskovets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Ermakov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A.I. A new approach to assessing endothelial dysfunction: determining the number of circulating endothelial cells by flow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cytometry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// Clinical Laboratory Diagnostics. 2015. No. 4. pp. 23—39.</w:t>
            </w:r>
          </w:p>
        </w:tc>
      </w:tr>
      <w:tr w:rsidR="009A026D" w:rsidRPr="004A6041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29.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Chazova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Zhernakova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9595A">
              <w:rPr>
                <w:sz w:val="24"/>
                <w:szCs w:val="24"/>
                <w:lang w:val="en-US"/>
              </w:rPr>
              <w:t>Yu.V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.,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Oshchepkova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The prevalence of risk factors for cardiovascular diseases in the Russian population of patients with arterial hypertension // Cardiology. 2014.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no.10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 pp.4-12.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30.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Chazova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Nedogoda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Zhernakova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Susekov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Medvedeva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Shestakova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M.V. Recommendations for the management of patients with arterial hypertension with metabolic disorders //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Cardiological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Bulletin. 2014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.V.9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 No. 1. S. 3-57.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31.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Chukaeva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Orlova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Khavka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Klepikova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M.V. The study of inflammatory factors in patients with metabolic syndrome // Medical business. 2010. no.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4.,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pp.50-56.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66215E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32.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V.L.S. Estimation of the relationship of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adipokine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, cytokine, endothelial dysfunction markers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hemostasis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indices with the state of target organs with a combination of arterial hypertension and abdominal obesity in young 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>people</w:t>
            </w:r>
            <w:r w:rsidR="0066215E" w:rsidRPr="0066215E">
              <w:rPr>
                <w:sz w:val="24"/>
                <w:szCs w:val="24"/>
                <w:lang w:val="en-US"/>
              </w:rPr>
              <w:t xml:space="preserve"> </w:t>
            </w:r>
            <w:r w:rsidR="0066215E">
              <w:rPr>
                <w:sz w:val="24"/>
                <w:szCs w:val="24"/>
                <w:lang w:val="en-US"/>
              </w:rPr>
              <w:t>//</w:t>
            </w:r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sz w:val="24"/>
                <w:szCs w:val="24"/>
                <w:lang w:val="en-US" w:eastAsia="ru-RU"/>
              </w:rPr>
              <w:t>In the World of Scientific Discoveries. - 2016</w:t>
            </w:r>
            <w:proofErr w:type="gramStart"/>
            <w:r w:rsidRPr="00E9595A">
              <w:rPr>
                <w:sz w:val="24"/>
                <w:szCs w:val="24"/>
                <w:lang w:val="en-US" w:eastAsia="ru-RU"/>
              </w:rPr>
              <w:t>.-</w:t>
            </w:r>
            <w:proofErr w:type="gramEnd"/>
            <w:r w:rsidRPr="00E9595A">
              <w:rPr>
                <w:sz w:val="24"/>
                <w:szCs w:val="24"/>
                <w:lang w:val="en-US" w:eastAsia="ru-RU"/>
              </w:rPr>
              <w:t xml:space="preserve"> Vol. 6(78), pp. 64-79.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iCs/>
                <w:sz w:val="24"/>
                <w:szCs w:val="24"/>
                <w:lang w:val="en-US"/>
              </w:rPr>
              <w:lastRenderedPageBreak/>
              <w:t xml:space="preserve">33. </w:t>
            </w:r>
            <w:r w:rsidRPr="004A6041">
              <w:rPr>
                <w:iCs/>
                <w:sz w:val="24"/>
                <w:szCs w:val="24"/>
                <w:lang w:val="en-US"/>
              </w:rPr>
              <w:t xml:space="preserve">Ali </w:t>
            </w:r>
            <w:proofErr w:type="spellStart"/>
            <w:r w:rsidRPr="004A6041">
              <w:rPr>
                <w:iCs/>
                <w:sz w:val="24"/>
                <w:szCs w:val="24"/>
                <w:lang w:val="en-US"/>
              </w:rPr>
              <w:t>Ozyol</w:t>
            </w:r>
            <w:proofErr w:type="spellEnd"/>
            <w:r w:rsidRPr="004A6041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041">
              <w:rPr>
                <w:iCs/>
                <w:sz w:val="24"/>
                <w:szCs w:val="24"/>
                <w:lang w:val="en-US"/>
              </w:rPr>
              <w:t>Oguzhan</w:t>
            </w:r>
            <w:proofErr w:type="spellEnd"/>
            <w:r w:rsidRPr="004A6041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41">
              <w:rPr>
                <w:iCs/>
                <w:sz w:val="24"/>
                <w:szCs w:val="24"/>
                <w:lang w:val="en-US"/>
              </w:rPr>
              <w:t>Yucel</w:t>
            </w:r>
            <w:proofErr w:type="spellEnd"/>
            <w:r w:rsidRPr="00E9595A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Microalbuminuria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is associated with the severity of coronary artery disease independently of other cardiovascular risk factors</w:t>
            </w:r>
            <w:r w:rsidR="0066215E" w:rsidRPr="0066215E">
              <w:rPr>
                <w:sz w:val="24"/>
                <w:szCs w:val="24"/>
                <w:lang w:val="en-US"/>
              </w:rPr>
              <w:t>.</w:t>
            </w:r>
            <w:r w:rsidRPr="00E9595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E9595A">
              <w:rPr>
                <w:i/>
                <w:sz w:val="24"/>
                <w:szCs w:val="24"/>
                <w:lang w:val="en-US"/>
              </w:rPr>
              <w:t>Angiology</w:t>
            </w:r>
            <w:proofErr w:type="spellEnd"/>
            <w:proofErr w:type="gramEnd"/>
            <w:r w:rsidRPr="00E9595A">
              <w:rPr>
                <w:i/>
                <w:sz w:val="24"/>
                <w:szCs w:val="24"/>
                <w:lang w:val="en-US"/>
              </w:rPr>
              <w:t>,  2012, Vol. 63, no. 6, pp. 457–460.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 w:eastAsia="ru-RU"/>
              </w:rPr>
              <w:t xml:space="preserve">34.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Caillon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Mian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M.O.R.,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Fraulob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-Aquino J.C.,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Huo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K.-G.,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Barhoumi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Ouerd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Sinnaeve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P.R.,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Paradis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 P.,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E.L. </w:t>
            </w:r>
            <w:r w:rsidRPr="00E9595A">
              <w:rPr>
                <w:sz w:val="24"/>
                <w:szCs w:val="24"/>
                <w:lang w:eastAsia="ru-RU"/>
              </w:rPr>
              <w:t>γδ</w:t>
            </w:r>
            <w:r w:rsidRPr="00E9595A">
              <w:rPr>
                <w:sz w:val="24"/>
                <w:szCs w:val="24"/>
                <w:lang w:val="en-US" w:eastAsia="ru-RU"/>
              </w:rPr>
              <w:t xml:space="preserve"> T cells mediate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angiotensin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II-induced hypertension and vascular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injuryclinical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perspective. </w:t>
            </w:r>
            <w:r w:rsidRPr="00E9595A">
              <w:rPr>
                <w:i/>
                <w:sz w:val="24"/>
                <w:szCs w:val="24"/>
                <w:lang w:val="en-US" w:eastAsia="ru-RU"/>
              </w:rPr>
              <w:t>Circulation, 2017, Vol. 135, no. 22, pp. 2155-2162.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 w:eastAsia="ru-RU"/>
              </w:rPr>
              <w:t xml:space="preserve">35.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Caillon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E.L. Role of inflammation and immunity in hypertension: Recent epidemiological, laboratory, and clinical evidence. </w:t>
            </w:r>
            <w:proofErr w:type="spellStart"/>
            <w:r w:rsidRPr="00E9595A">
              <w:rPr>
                <w:i/>
                <w:sz w:val="24"/>
                <w:szCs w:val="24"/>
                <w:lang w:val="en-US" w:eastAsia="ru-RU"/>
              </w:rPr>
              <w:t>Curr</w:t>
            </w:r>
            <w:proofErr w:type="spellEnd"/>
            <w:r w:rsidRPr="00E9595A">
              <w:rPr>
                <w:i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9595A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Pr="00E9595A">
              <w:rPr>
                <w:i/>
                <w:sz w:val="24"/>
                <w:szCs w:val="24"/>
                <w:lang w:val="en-US" w:eastAsia="ru-RU"/>
              </w:rPr>
              <w:t>. Rep., 2016, Vol. 18, no. 3, pp. 21.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66215E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shd w:val="clear" w:color="auto" w:fill="FFFFFF"/>
                <w:lang w:val="en-US"/>
              </w:rPr>
              <w:t xml:space="preserve">36.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Dinh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Q.N., Drummond G.R., Kemp-Harper B.K.,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H., De Silva T.M., Kim H.A.,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C.G. 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Pressor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response to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angiotensin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II is enhanced in aged mice and associated with inflammation, vasoconstriction and oxidative stress</w:t>
            </w:r>
            <w:r w:rsidR="0066215E" w:rsidRPr="0066215E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9595A">
              <w:rPr>
                <w:rStyle w:val="a5"/>
                <w:sz w:val="24"/>
                <w:szCs w:val="24"/>
                <w:shd w:val="clear" w:color="auto" w:fill="FFFFFF"/>
                <w:lang w:val="en-US"/>
              </w:rPr>
              <w:t>Aging</w:t>
            </w:r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, 2017, Vol. </w:t>
            </w:r>
            <w:r w:rsidRPr="00E9595A">
              <w:rPr>
                <w:rStyle w:val="a5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(6), pp. 1595-1605.  https://doi.org/10.18632/aging.101255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shd w:val="clear" w:color="auto" w:fill="FAFAFA"/>
                <w:lang w:val="en-US"/>
              </w:rPr>
              <w:t xml:space="preserve">37. </w:t>
            </w:r>
            <w:proofErr w:type="spellStart"/>
            <w:r w:rsidRPr="004A6041">
              <w:rPr>
                <w:sz w:val="24"/>
                <w:szCs w:val="24"/>
                <w:shd w:val="clear" w:color="auto" w:fill="FAFAFA"/>
                <w:lang w:val="en-US"/>
              </w:rPr>
              <w:t>Dzantieva</w:t>
            </w:r>
            <w:proofErr w:type="spellEnd"/>
            <w:r w:rsidRPr="004A6041">
              <w:rPr>
                <w:sz w:val="24"/>
                <w:szCs w:val="24"/>
                <w:shd w:val="clear" w:color="auto" w:fill="FAFAFA"/>
                <w:lang w:val="en-US"/>
              </w:rPr>
              <w:t xml:space="preserve"> E.O.,</w:t>
            </w:r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Khripun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I.A</w:t>
            </w:r>
            <w:proofErr w:type="gram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,  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Vorobev</w:t>
            </w:r>
            <w:proofErr w:type="spellEnd"/>
            <w:proofErr w:type="gram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S.V., 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Gusova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Z.R, 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Puzyreva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V.P.,  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Ibishev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Kh.S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.,  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Belousov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I.I. </w:t>
            </w:r>
            <w:proofErr w:type="spellStart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>Chernyy</w:t>
            </w:r>
            <w:proofErr w:type="spellEnd"/>
            <w:r w:rsidRPr="00E9595A">
              <w:rPr>
                <w:sz w:val="24"/>
                <w:szCs w:val="24"/>
                <w:shd w:val="clear" w:color="auto" w:fill="FAFAFA"/>
                <w:lang w:val="en-US"/>
              </w:rPr>
              <w:t xml:space="preserve"> A.A. Influence of sex hormones on the formation of endothelial dysfunction and cytokine imbalance in men </w:t>
            </w:r>
            <w:r w:rsidRPr="00E9595A">
              <w:rPr>
                <w:sz w:val="24"/>
                <w:szCs w:val="24"/>
                <w:lang w:val="en-US"/>
              </w:rPr>
              <w:t>with type 2 diabetes</w:t>
            </w:r>
            <w:r w:rsidR="0066215E" w:rsidRPr="0066215E">
              <w:rPr>
                <w:sz w:val="24"/>
                <w:szCs w:val="24"/>
                <w:lang w:val="en-US"/>
              </w:rPr>
              <w:t>.</w:t>
            </w:r>
            <w:r w:rsidRPr="00E9595A">
              <w:rPr>
                <w:sz w:val="24"/>
                <w:szCs w:val="24"/>
                <w:lang w:val="en-US"/>
              </w:rPr>
              <w:t xml:space="preserve">  </w:t>
            </w:r>
            <w:r w:rsidRPr="00E9595A">
              <w:rPr>
                <w:i/>
                <w:sz w:val="24"/>
                <w:szCs w:val="24"/>
                <w:shd w:val="clear" w:color="auto" w:fill="FFFFFF"/>
                <w:lang w:val="en-US"/>
              </w:rPr>
              <w:t>Modern problems of science and education. – 2015. – № 6.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 w:eastAsia="ru-RU"/>
              </w:rPr>
              <w:t xml:space="preserve">38.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Espeli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M., Smith K.G.,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Clatworthy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M.R.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Fc</w:t>
            </w:r>
            <w:proofErr w:type="spellEnd"/>
            <w:r w:rsidRPr="00E9595A">
              <w:rPr>
                <w:sz w:val="24"/>
                <w:szCs w:val="24"/>
                <w:lang w:eastAsia="ru-RU"/>
              </w:rPr>
              <w:t>γ</w:t>
            </w:r>
            <w:r w:rsidRPr="00E9595A">
              <w:rPr>
                <w:sz w:val="24"/>
                <w:szCs w:val="24"/>
                <w:lang w:val="en-US" w:eastAsia="ru-RU"/>
              </w:rPr>
              <w:t xml:space="preserve">RIIB and autoimmunity. </w:t>
            </w:r>
            <w:proofErr w:type="spellStart"/>
            <w:r w:rsidRPr="00E9595A">
              <w:rPr>
                <w:i/>
                <w:sz w:val="24"/>
                <w:szCs w:val="24"/>
                <w:lang w:val="en-US" w:eastAsia="ru-RU"/>
              </w:rPr>
              <w:t>Immunol</w:t>
            </w:r>
            <w:proofErr w:type="spellEnd"/>
            <w:r w:rsidRPr="00E9595A">
              <w:rPr>
                <w:i/>
                <w:sz w:val="24"/>
                <w:szCs w:val="24"/>
                <w:lang w:val="en-US" w:eastAsia="ru-RU"/>
              </w:rPr>
              <w:t>. Rev., 2016, Vol. 269, no. 1, pp. 194-211.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39.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Fauchais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Lallou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Lise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M.C.,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Boumediene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Preud’homme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J.L., Vidal 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Jauberteau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M.O. Role of endogenous brain-derived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neurotrophic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factor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sortilin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in B cell survival.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E9595A">
              <w:rPr>
                <w:i/>
                <w:iCs/>
                <w:sz w:val="24"/>
                <w:szCs w:val="24"/>
                <w:lang w:val="en-US"/>
              </w:rPr>
              <w:t>Immunol</w:t>
            </w:r>
            <w:proofErr w:type="spellEnd"/>
            <w:r w:rsidRPr="00E9595A">
              <w:rPr>
                <w:i/>
                <w:iCs/>
                <w:sz w:val="24"/>
                <w:szCs w:val="24"/>
                <w:lang w:val="en-US"/>
              </w:rPr>
              <w:t>., 2008, Vol. 181, no. 5,</w:t>
            </w:r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pp. 3027-3038.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rFonts w:eastAsia="TimesNewRoman"/>
                <w:sz w:val="24"/>
                <w:szCs w:val="24"/>
                <w:lang w:val="en-US" w:eastAsia="ru-RU"/>
              </w:rPr>
              <w:t xml:space="preserve">40. </w:t>
            </w:r>
            <w:proofErr w:type="spellStart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Horigome</w:t>
            </w:r>
            <w:proofErr w:type="spellEnd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 xml:space="preserve"> H., Katayama Y., </w:t>
            </w:r>
            <w:proofErr w:type="spellStart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Yoshinaga</w:t>
            </w:r>
            <w:proofErr w:type="spellEnd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 xml:space="preserve"> M., Kato Y.,</w:t>
            </w:r>
            <w:r w:rsidRPr="00E9595A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 xml:space="preserve">Takahashi H., </w:t>
            </w:r>
            <w:proofErr w:type="spellStart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Sumazaki</w:t>
            </w:r>
            <w:proofErr w:type="spellEnd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 xml:space="preserve"> R. Significant associations among</w:t>
            </w:r>
            <w:r w:rsidRPr="00E9595A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hemostatic</w:t>
            </w:r>
            <w:proofErr w:type="spellEnd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 xml:space="preserve"> parameters, </w:t>
            </w:r>
            <w:proofErr w:type="spellStart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adipokines</w:t>
            </w:r>
            <w:proofErr w:type="spellEnd"/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, and components of the</w:t>
            </w:r>
            <w:r w:rsidRPr="00E9595A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>metabolic syndrome in Japanese preschool children</w:t>
            </w:r>
            <w:r w:rsidR="0066215E" w:rsidRPr="0066215E">
              <w:rPr>
                <w:rFonts w:eastAsia="TimesNewRoman"/>
                <w:sz w:val="24"/>
                <w:szCs w:val="24"/>
                <w:lang w:val="en-US" w:eastAsia="ru-RU"/>
              </w:rPr>
              <w:t>.</w:t>
            </w:r>
            <w:r w:rsidRPr="00E9595A">
              <w:rPr>
                <w:rFonts w:eastAsia="TimesNewRoman"/>
                <w:sz w:val="24"/>
                <w:szCs w:val="24"/>
                <w:lang w:val="en-US" w:eastAsia="ru-RU"/>
              </w:rPr>
              <w:t xml:space="preserve"> </w:t>
            </w:r>
            <w:r w:rsidRPr="00E9595A">
              <w:rPr>
                <w:rFonts w:eastAsia="TimesNewRoman"/>
                <w:i/>
                <w:sz w:val="24"/>
                <w:szCs w:val="24"/>
                <w:lang w:val="en-US" w:eastAsia="ru-RU"/>
              </w:rPr>
              <w:t>Clinical</w:t>
            </w:r>
            <w:r w:rsidRPr="00E9595A">
              <w:rPr>
                <w:rFonts w:eastAsia="NimbusCyr"/>
                <w:i/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rFonts w:eastAsia="TimesNewRoman"/>
                <w:i/>
                <w:sz w:val="24"/>
                <w:szCs w:val="24"/>
                <w:lang w:val="en-US" w:eastAsia="ru-RU"/>
              </w:rPr>
              <w:t xml:space="preserve">and Applied Thrombosis </w:t>
            </w:r>
            <w:proofErr w:type="spellStart"/>
            <w:r w:rsidRPr="00E9595A">
              <w:rPr>
                <w:rFonts w:eastAsia="TimesNewRoman"/>
                <w:i/>
                <w:sz w:val="24"/>
                <w:szCs w:val="24"/>
                <w:lang w:val="en-US" w:eastAsia="ru-RU"/>
              </w:rPr>
              <w:t>Hemostasis</w:t>
            </w:r>
            <w:proofErr w:type="spellEnd"/>
            <w:r w:rsidRPr="00E9595A">
              <w:rPr>
                <w:rFonts w:eastAsia="TimesNewRoman"/>
                <w:i/>
                <w:sz w:val="24"/>
                <w:szCs w:val="24"/>
                <w:lang w:val="en-US" w:eastAsia="ru-RU"/>
              </w:rPr>
              <w:t>., 2012, Vol. 18,</w:t>
            </w:r>
            <w:r w:rsidRPr="00E9595A">
              <w:rPr>
                <w:rFonts w:eastAsia="NimbusCyr"/>
                <w:i/>
                <w:sz w:val="24"/>
                <w:szCs w:val="24"/>
                <w:lang w:val="en-US"/>
              </w:rPr>
              <w:t xml:space="preserve"> no</w:t>
            </w:r>
            <w:r w:rsidRPr="00E9595A">
              <w:rPr>
                <w:rFonts w:eastAsia="TimesNewRoman"/>
                <w:i/>
                <w:sz w:val="24"/>
                <w:szCs w:val="24"/>
                <w:lang w:val="en-US" w:eastAsia="ru-RU"/>
              </w:rPr>
              <w:t xml:space="preserve"> 2, pp. 189-194.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41.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Kobori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Nangaku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Navar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Nishiyama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 The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intrarenal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renin-angiotensin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system: From physiology to the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pathobiology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of hypertension and kidney disease. </w:t>
            </w:r>
            <w:proofErr w:type="spellStart"/>
            <w:r w:rsidRPr="00E9595A">
              <w:rPr>
                <w:i/>
                <w:iCs/>
                <w:sz w:val="24"/>
                <w:szCs w:val="24"/>
                <w:lang w:val="en-US"/>
              </w:rPr>
              <w:t>Pharmacol</w:t>
            </w:r>
            <w:proofErr w:type="spellEnd"/>
            <w:r w:rsidRPr="00E9595A">
              <w:rPr>
                <w:i/>
                <w:iCs/>
                <w:sz w:val="24"/>
                <w:szCs w:val="24"/>
                <w:lang w:val="en-US"/>
              </w:rPr>
              <w:t>. Rev., 2007, Vol. 59, no. 3, pp. 251-287.</w:t>
            </w:r>
          </w:p>
        </w:tc>
      </w:tr>
      <w:tr w:rsidR="009A026D" w:rsidRPr="00E9595A" w:rsidTr="00114105">
        <w:tc>
          <w:tcPr>
            <w:tcW w:w="9322" w:type="dxa"/>
          </w:tcPr>
          <w:p w:rsidR="009A026D" w:rsidRPr="00E9595A" w:rsidRDefault="009A026D" w:rsidP="0011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shd w:val="clear" w:color="auto" w:fill="FFFFFF"/>
                <w:lang w:val="en-US"/>
              </w:rPr>
              <w:t xml:space="preserve">42. </w:t>
            </w:r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Krishnan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Shalini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M.; Ling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Yeong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H.;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Huuskes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Brooke M.;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Ferens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Dorota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M.;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Saini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Narbada; Chan Christopher T.;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Henry;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Kett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Michelle M.; Samuel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Chrishan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S.; Kemp-Harper Barbara K.; Robertson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Avril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A.B.; Cooper Matthew A.; Peter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Karlheinz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Latz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Eicke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Mansell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Ashley S.;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Christopher G.; Drummond Grant R.;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Vinh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Antony.  Pharmacological inhibition of the NLRP3 </w:t>
            </w:r>
            <w:proofErr w:type="spellStart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>inflammasome</w:t>
            </w:r>
            <w:proofErr w:type="spellEnd"/>
            <w:r w:rsidRPr="00E9595A">
              <w:rPr>
                <w:sz w:val="24"/>
                <w:szCs w:val="24"/>
                <w:shd w:val="clear" w:color="auto" w:fill="FFFFFF"/>
                <w:lang w:val="en-US"/>
              </w:rPr>
              <w:t xml:space="preserve"> reduces blood pressure, renal damage, and dysfunction in salt-sensitive hypertension. </w:t>
            </w:r>
            <w:r w:rsidRPr="00E9595A">
              <w:rPr>
                <w:rStyle w:val="tr-popupvalue"/>
                <w:i/>
                <w:sz w:val="24"/>
                <w:szCs w:val="24"/>
                <w:shd w:val="clear" w:color="auto" w:fill="FFFFFF"/>
                <w:lang w:val="en-US"/>
              </w:rPr>
              <w:t>Cardiovascular Research</w:t>
            </w:r>
            <w:r w:rsidRPr="00E9595A">
              <w:rPr>
                <w:i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E9595A">
              <w:rPr>
                <w:i/>
                <w:sz w:val="24"/>
                <w:szCs w:val="24"/>
                <w:lang w:val="en-US"/>
              </w:rPr>
              <w:t>2019; Vol. 115, pp. 776-787.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autoSpaceDE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 w:eastAsia="ru-RU"/>
              </w:rPr>
              <w:t xml:space="preserve">43. </w:t>
            </w:r>
            <w:r w:rsidRPr="00E9595A">
              <w:rPr>
                <w:sz w:val="24"/>
                <w:szCs w:val="24"/>
                <w:lang w:val="en-US" w:eastAsia="ru-RU"/>
              </w:rPr>
              <w:t xml:space="preserve">Liu X., Zhang Q., Wu H., Du H., Liu L., Shi H., Wang C., Xia Y.,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Guo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X., Li C.,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Bao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X., Su Q., Sun S., Wang X., Zhou M.,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Jia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Q., Zhao H., Song K.,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Niu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K. Blood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neutrophil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to lymphocyte ratio as a predictor of hypertension</w:t>
            </w:r>
            <w:r w:rsidR="0066215E" w:rsidRPr="0066215E">
              <w:rPr>
                <w:sz w:val="24"/>
                <w:szCs w:val="24"/>
                <w:lang w:val="en-US" w:eastAsia="ru-RU"/>
              </w:rPr>
              <w:t>.</w:t>
            </w:r>
            <w:r w:rsidRPr="00E9595A">
              <w:rPr>
                <w:sz w:val="24"/>
                <w:szCs w:val="24"/>
                <w:lang w:val="en-US" w:eastAsia="ru-RU"/>
              </w:rPr>
              <w:t xml:space="preserve"> </w:t>
            </w:r>
            <w:r w:rsidRPr="00E9595A">
              <w:rPr>
                <w:i/>
                <w:sz w:val="24"/>
                <w:szCs w:val="24"/>
                <w:lang w:val="en-US" w:eastAsia="ru-RU"/>
              </w:rPr>
              <w:t xml:space="preserve">Am. J. </w:t>
            </w:r>
            <w:proofErr w:type="spellStart"/>
            <w:r w:rsidRPr="00E9595A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Pr="00E9595A">
              <w:rPr>
                <w:i/>
                <w:sz w:val="24"/>
                <w:szCs w:val="24"/>
                <w:lang w:val="en-US" w:eastAsia="ru-RU"/>
              </w:rPr>
              <w:t>., 2015, Vol. 28, no. 11, pp. 1339-1346.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44.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M.S., Lob H.E., McCann L.A.,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Iwakura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Y., Blinder Y.,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Guzik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T.J.,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Harrison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D.G. Interleukin 17 promotes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angiotensin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II-induced hypertension and vascular dysfunction.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Hypertension, 2010, Vol. 55, no. 2,</w:t>
            </w:r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pp. 500-507.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45. </w:t>
            </w:r>
            <w:r w:rsidRPr="00E9595A">
              <w:rPr>
                <w:sz w:val="24"/>
                <w:szCs w:val="24"/>
                <w:lang w:val="en-US"/>
              </w:rPr>
              <w:t xml:space="preserve">Marko L.,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Kvakan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H., Park J.K.,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Qadri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Spallek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B., Binger K.J., Bowman E.P.,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Kleinewietfeld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Fokuhl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Dechend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R., Muller D.N. Interferon-gamma signaling inhibition ameliorates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angiotensin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II-induced cardiac damage.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Hypertension, 2012, Vol. 60, no. 6, pp. 1430-1436.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 w:eastAsia="ru-RU"/>
              </w:rPr>
              <w:t xml:space="preserve">46.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Mian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M.O.,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Barhoumi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Briet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M.,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Paradis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P., </w:t>
            </w:r>
            <w:proofErr w:type="spellStart"/>
            <w:proofErr w:type="gramStart"/>
            <w:r w:rsidRPr="00E9595A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proofErr w:type="gramEnd"/>
            <w:r w:rsidRPr="00E9595A">
              <w:rPr>
                <w:sz w:val="24"/>
                <w:szCs w:val="24"/>
                <w:lang w:val="en-US" w:eastAsia="ru-RU"/>
              </w:rPr>
              <w:t xml:space="preserve"> E.L. Deficiency of t-regulatory cells exaggerates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angiotensin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II-induced </w:t>
            </w:r>
            <w:proofErr w:type="spellStart"/>
            <w:r w:rsidRPr="00E9595A">
              <w:rPr>
                <w:sz w:val="24"/>
                <w:szCs w:val="24"/>
                <w:lang w:val="en-US" w:eastAsia="ru-RU"/>
              </w:rPr>
              <w:t>microvascular</w:t>
            </w:r>
            <w:proofErr w:type="spellEnd"/>
            <w:r w:rsidRPr="00E9595A">
              <w:rPr>
                <w:sz w:val="24"/>
                <w:szCs w:val="24"/>
                <w:lang w:val="en-US" w:eastAsia="ru-RU"/>
              </w:rPr>
              <w:t xml:space="preserve"> injury by enhancing immune responses. </w:t>
            </w:r>
            <w:r w:rsidRPr="00E9595A">
              <w:rPr>
                <w:i/>
                <w:sz w:val="24"/>
                <w:szCs w:val="24"/>
                <w:lang w:val="en-US" w:eastAsia="ru-RU"/>
              </w:rPr>
              <w:t xml:space="preserve">J. </w:t>
            </w:r>
            <w:proofErr w:type="spellStart"/>
            <w:r w:rsidRPr="00E9595A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Pr="00E9595A">
              <w:rPr>
                <w:i/>
                <w:sz w:val="24"/>
                <w:szCs w:val="24"/>
                <w:lang w:val="en-US" w:eastAsia="ru-RU"/>
              </w:rPr>
              <w:t>., 2016, Vol. 34, no. 1, pp. 97-108.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47. 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Moore J. P.,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Vinh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, A., Tuck K. L.,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Sakkal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S., Krishnan, S., Chan C., Lieu M., Samuel C. S.,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H., Harper B. K., Tare M., Ricardo S.D.,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Guzik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T.J.,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C.G.</w:t>
            </w: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Drummond G.R., M2 macrophage accumulation in the aortic wall during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angiotensin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II infusion in mice is associated with fibrosis,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elastin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loss, and elevated blood pressure</w:t>
            </w:r>
            <w:r w:rsidR="0066215E" w:rsidRPr="0066215E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>American Journal of Physiology - Heart and Circulatory Physiology.,  2015, Vol. 309,  no.5, pp. 906 - 917.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48.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M.S., Harrison D.G. The immunology of hypertension.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J. Exp. Med., 2018, Vol. 215, no. 1, p. 21.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49.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Saleh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Pandey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A.K.,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Itani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H.A., Wu J., Xiao L., Kang J., Dale B.L.,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Goleva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Laroumanie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F., Du L., Harrison D.G.,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M.S. A salt-sensing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kinase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in T lymphocytes, SGK1, drives hypertension and hypertensive end-organ damage.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 xml:space="preserve">JCI Insight, 2017, Vol. 2, no. 13, e92801. </w:t>
            </w:r>
            <w:proofErr w:type="spellStart"/>
            <w:proofErr w:type="gramStart"/>
            <w:r w:rsidRPr="00E9595A">
              <w:rPr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E9595A">
              <w:rPr>
                <w:sz w:val="24"/>
                <w:szCs w:val="24"/>
                <w:lang w:val="en-US"/>
              </w:rPr>
              <w:t>: 10.1172/jci.insight.92801.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50. </w:t>
            </w:r>
            <w:r w:rsidRPr="00E9595A">
              <w:rPr>
                <w:sz w:val="24"/>
                <w:szCs w:val="24"/>
                <w:lang w:val="en-US"/>
              </w:rPr>
              <w:t xml:space="preserve">O’Shea J.J., Paul W.E. Mechanisms underlying lineage commitment and plasticity of helper CD4+ T cells.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Science, 2010, Vol. 327, no. 5969, pp. 1098-1102.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51. </w:t>
            </w:r>
            <w:proofErr w:type="spellStart"/>
            <w:r w:rsidRPr="00F821A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Rubtsova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K.,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Rubtsov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A.V.,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Cancro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M.P.,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Marrack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P. Age-associated B cells: a T-bet-dependent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effector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with roles in protective and pathogenic immunity. </w:t>
            </w:r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J </w:t>
            </w:r>
            <w:proofErr w:type="spellStart"/>
            <w:proofErr w:type="gramStart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Immunol</w:t>
            </w:r>
            <w:proofErr w:type="spellEnd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.,</w:t>
            </w:r>
            <w:proofErr w:type="gramEnd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2015, Vol. 195(5), pp. 1933-1937.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z w:val="24"/>
                <w:szCs w:val="24"/>
                <w:lang w:val="en-US"/>
              </w:rPr>
              <w:t xml:space="preserve">52.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Saleh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M.A., McMaster W.G., Wu J.,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Funt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Thabet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S.R.,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Kirabo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A., Xiao L., Chen W.,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Itani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H.A.,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Michell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Huan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T., Zhang Y.,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Takaki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Titze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J., Levy D., Harrison D.G.,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M.S. Lymphocyte adaptor protein LNK deficiency exacerbates hypertension and end-organ inflammation.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E9595A">
              <w:rPr>
                <w:i/>
                <w:iCs/>
                <w:sz w:val="24"/>
                <w:szCs w:val="24"/>
                <w:lang w:val="en-US"/>
              </w:rPr>
              <w:t>Clin</w:t>
            </w:r>
            <w:proofErr w:type="spellEnd"/>
            <w:r w:rsidRPr="00E9595A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9595A">
              <w:rPr>
                <w:i/>
                <w:iCs/>
                <w:sz w:val="24"/>
                <w:szCs w:val="24"/>
                <w:lang w:val="en-US"/>
              </w:rPr>
              <w:t>Invest.,</w:t>
            </w:r>
            <w:proofErr w:type="gramEnd"/>
            <w:r w:rsidRPr="00E9595A">
              <w:rPr>
                <w:i/>
                <w:iCs/>
                <w:sz w:val="24"/>
                <w:szCs w:val="24"/>
                <w:lang w:val="en-US"/>
              </w:rPr>
              <w:t xml:space="preserve"> 2015,</w:t>
            </w:r>
            <w:r w:rsidRPr="00E9595A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i/>
                <w:iCs/>
                <w:sz w:val="24"/>
                <w:szCs w:val="24"/>
                <w:lang w:val="en-US"/>
              </w:rPr>
              <w:t>Vol. 125, no. 3, pp. 1189-1202.</w:t>
            </w:r>
          </w:p>
        </w:tc>
      </w:tr>
      <w:tr w:rsidR="009A026D" w:rsidRPr="00E9595A" w:rsidTr="00114105">
        <w:tc>
          <w:tcPr>
            <w:tcW w:w="9322" w:type="dxa"/>
          </w:tcPr>
          <w:p w:rsidR="009A026D" w:rsidRPr="00E9595A" w:rsidRDefault="009A026D" w:rsidP="00114105">
            <w:pPr>
              <w:pStyle w:val="a6"/>
              <w:shd w:val="clear" w:color="auto" w:fill="FCFCFC"/>
              <w:spacing w:before="0" w:beforeAutospacing="0" w:after="0" w:afterAutospacing="0"/>
              <w:jc w:val="both"/>
              <w:rPr>
                <w:lang w:val="en-US"/>
              </w:rPr>
            </w:pPr>
            <w:r w:rsidRPr="007366B2">
              <w:rPr>
                <w:shd w:val="clear" w:color="auto" w:fill="FFFFFF"/>
                <w:lang w:val="en-US"/>
              </w:rPr>
              <w:t xml:space="preserve">53. </w:t>
            </w:r>
            <w:proofErr w:type="spellStart"/>
            <w:r w:rsidRPr="00E9595A">
              <w:rPr>
                <w:shd w:val="clear" w:color="auto" w:fill="FFFFFF"/>
                <w:lang w:val="en-US"/>
              </w:rPr>
              <w:t>Selvaraj</w:t>
            </w:r>
            <w:proofErr w:type="spellEnd"/>
            <w:r w:rsidRPr="00E9595A">
              <w:rPr>
                <w:shd w:val="clear" w:color="auto" w:fill="FFFFFF"/>
                <w:lang w:val="en-US"/>
              </w:rPr>
              <w:t xml:space="preserve"> U. M., </w:t>
            </w:r>
            <w:proofErr w:type="spellStart"/>
            <w:r w:rsidRPr="00E9595A">
              <w:rPr>
                <w:shd w:val="clear" w:color="auto" w:fill="FFFFFF"/>
                <w:lang w:val="en-US"/>
              </w:rPr>
              <w:t>Poinsatte</w:t>
            </w:r>
            <w:proofErr w:type="spellEnd"/>
            <w:r w:rsidRPr="00E9595A">
              <w:rPr>
                <w:shd w:val="clear" w:color="auto" w:fill="FFFFFF"/>
                <w:lang w:val="en-US"/>
              </w:rPr>
              <w:t xml:space="preserve"> K., Torres V.  Heterogeneity of B Cell Functions in Stroke-Related Risk, Prevention, Injury, and Repair. </w:t>
            </w:r>
            <w:hyperlink r:id="rId5" w:tooltip="Neurotherapeutics" w:history="1">
              <w:proofErr w:type="spellStart"/>
              <w:r w:rsidRPr="00E9595A">
                <w:rPr>
                  <w:rStyle w:val="journaltitle"/>
                  <w:i/>
                  <w:spacing w:val="2"/>
                  <w:lang w:val="en-US"/>
                </w:rPr>
                <w:t>Neurotherapeutics</w:t>
              </w:r>
              <w:proofErr w:type="spellEnd"/>
            </w:hyperlink>
            <w:r w:rsidRPr="00E9595A">
              <w:rPr>
                <w:i/>
                <w:spacing w:val="2"/>
                <w:lang w:val="en-US"/>
              </w:rPr>
              <w:t xml:space="preserve">. </w:t>
            </w:r>
            <w:r w:rsidRPr="00E9595A">
              <w:rPr>
                <w:i/>
                <w:shd w:val="clear" w:color="auto" w:fill="FFFFFF"/>
                <w:lang w:val="en-US"/>
              </w:rPr>
              <w:t>2016, Volume 13, Issue 4, pp 729–747.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54. </w:t>
            </w:r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Singh M.V.,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Chapleau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M.W.,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Harwani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S.C.,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Abboud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F.M. The immune system and hypertension. </w:t>
            </w:r>
            <w:proofErr w:type="spellStart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Immunol</w:t>
            </w:r>
            <w:proofErr w:type="spellEnd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 Res., 2014</w:t>
            </w:r>
            <w:proofErr w:type="gramStart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,  Vol</w:t>
            </w:r>
            <w:proofErr w:type="gramEnd"/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 59 (1-3), pp. 243-253.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iCs/>
                <w:sz w:val="24"/>
                <w:szCs w:val="24"/>
                <w:lang w:val="en-US"/>
              </w:rPr>
              <w:t xml:space="preserve">55. </w:t>
            </w:r>
            <w:proofErr w:type="spellStart"/>
            <w:r w:rsidRPr="00E9595A">
              <w:rPr>
                <w:iCs/>
                <w:sz w:val="24"/>
                <w:szCs w:val="24"/>
                <w:lang w:val="en-US"/>
              </w:rPr>
              <w:t>Slarma</w:t>
            </w:r>
            <w:proofErr w:type="spellEnd"/>
            <w:r w:rsidRPr="00E9595A">
              <w:rPr>
                <w:i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E9595A">
              <w:rPr>
                <w:iCs/>
                <w:sz w:val="24"/>
                <w:szCs w:val="24"/>
                <w:lang w:val="en-US"/>
              </w:rPr>
              <w:t>Chalaut</w:t>
            </w:r>
            <w:proofErr w:type="spellEnd"/>
            <w:r w:rsidRPr="00E9595A">
              <w:rPr>
                <w:iCs/>
                <w:sz w:val="24"/>
                <w:szCs w:val="24"/>
                <w:lang w:val="en-US"/>
              </w:rPr>
              <w:t xml:space="preserve"> Vs</w:t>
            </w:r>
            <w:r w:rsidRPr="00E9595A">
              <w:rPr>
                <w:sz w:val="24"/>
                <w:szCs w:val="24"/>
                <w:lang w:val="en-US"/>
              </w:rPr>
              <w:t xml:space="preserve">. et al.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Microalbuminuria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and C-reactive protein as a predictor of coronary artery disease in patient of acute chest pain</w:t>
            </w:r>
            <w:r w:rsidR="0066215E" w:rsidRPr="0066215E">
              <w:rPr>
                <w:sz w:val="24"/>
                <w:szCs w:val="24"/>
                <w:lang w:val="en-US"/>
              </w:rPr>
              <w:t>.</w:t>
            </w:r>
            <w:r w:rsidRPr="00E9595A">
              <w:rPr>
                <w:sz w:val="24"/>
                <w:szCs w:val="24"/>
                <w:lang w:val="en-US"/>
              </w:rPr>
              <w:t xml:space="preserve">  </w:t>
            </w:r>
            <w:r w:rsidRPr="00E9595A">
              <w:rPr>
                <w:i/>
                <w:sz w:val="24"/>
                <w:szCs w:val="24"/>
                <w:lang w:val="en-US"/>
              </w:rPr>
              <w:t>J. Cardiovascular Disease Research., 2013, Vol. 4 (1), pp. 37–39.</w:t>
            </w:r>
          </w:p>
        </w:tc>
      </w:tr>
      <w:tr w:rsidR="009A026D" w:rsidRPr="00C70809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rFonts w:eastAsia="TimesNewRomanPSMT"/>
                <w:sz w:val="24"/>
                <w:szCs w:val="24"/>
                <w:lang w:val="en-US"/>
              </w:rPr>
              <w:t xml:space="preserve">56. </w:t>
            </w:r>
            <w:r w:rsidRPr="00E9595A">
              <w:rPr>
                <w:rFonts w:eastAsia="TimesNewRomanPSMT"/>
                <w:sz w:val="24"/>
                <w:szCs w:val="24"/>
                <w:lang w:val="en-US"/>
              </w:rPr>
              <w:t xml:space="preserve">Vargas K.G., </w:t>
            </w:r>
            <w:proofErr w:type="spellStart"/>
            <w:r w:rsidRPr="00E9595A">
              <w:rPr>
                <w:rFonts w:eastAsia="TimesNewRomanPSMT"/>
                <w:sz w:val="24"/>
                <w:szCs w:val="24"/>
                <w:lang w:val="en-US"/>
              </w:rPr>
              <w:t>Kassem</w:t>
            </w:r>
            <w:proofErr w:type="spellEnd"/>
            <w:r w:rsidRPr="00E9595A">
              <w:rPr>
                <w:rFonts w:eastAsia="TimesNewRomanPSMT"/>
                <w:sz w:val="24"/>
                <w:szCs w:val="24"/>
                <w:lang w:val="en-US"/>
              </w:rPr>
              <w:t xml:space="preserve"> M., Mueller C., </w:t>
            </w:r>
            <w:proofErr w:type="spellStart"/>
            <w:r w:rsidRPr="00E9595A">
              <w:rPr>
                <w:rFonts w:eastAsia="TimesNewRomanPSMT"/>
                <w:sz w:val="24"/>
                <w:szCs w:val="24"/>
                <w:lang w:val="en-US"/>
              </w:rPr>
              <w:t>Wojta</w:t>
            </w:r>
            <w:proofErr w:type="spellEnd"/>
            <w:r w:rsidRPr="00E9595A">
              <w:rPr>
                <w:rFonts w:eastAsia="TimesNewRomanPSMT"/>
                <w:sz w:val="24"/>
                <w:szCs w:val="24"/>
                <w:lang w:val="en-US"/>
              </w:rPr>
              <w:t xml:space="preserve"> J., Huber K. </w:t>
            </w:r>
            <w:proofErr w:type="spellStart"/>
            <w:r w:rsidRPr="00E9595A">
              <w:rPr>
                <w:rFonts w:eastAsia="TimesNewRomanPSMT"/>
                <w:sz w:val="24"/>
                <w:szCs w:val="24"/>
                <w:lang w:val="en-US"/>
              </w:rPr>
              <w:t>Copeptin</w:t>
            </w:r>
            <w:proofErr w:type="spellEnd"/>
            <w:r w:rsidRPr="00E9595A">
              <w:rPr>
                <w:rFonts w:eastAsia="TimesNewRomanPSMT"/>
                <w:sz w:val="24"/>
                <w:szCs w:val="24"/>
                <w:lang w:val="en-US"/>
              </w:rPr>
              <w:t xml:space="preserve"> for the early rule-out of non-ST-elevation myocardial infarction</w:t>
            </w:r>
            <w:r w:rsidR="0066215E" w:rsidRPr="0066215E">
              <w:rPr>
                <w:rFonts w:eastAsia="TimesNewRomanPSMT"/>
                <w:sz w:val="24"/>
                <w:szCs w:val="24"/>
                <w:lang w:val="en-US"/>
              </w:rPr>
              <w:t>.</w:t>
            </w:r>
            <w:r w:rsidRPr="00E9595A">
              <w:rPr>
                <w:rFonts w:eastAsia="TimesNewRomanPSMT"/>
                <w:sz w:val="24"/>
                <w:szCs w:val="24"/>
                <w:lang w:val="en-US"/>
              </w:rPr>
              <w:t xml:space="preserve">  </w:t>
            </w:r>
            <w:r w:rsidRPr="00E9595A">
              <w:rPr>
                <w:rFonts w:eastAsia="TimesNewRomanPSMT"/>
                <w:i/>
                <w:sz w:val="24"/>
                <w:szCs w:val="24"/>
                <w:lang w:val="en-US"/>
              </w:rPr>
              <w:t xml:space="preserve">Int. J. </w:t>
            </w:r>
            <w:proofErr w:type="spellStart"/>
            <w:r w:rsidRPr="00E9595A">
              <w:rPr>
                <w:rFonts w:eastAsia="TimesNewRomanPSMT"/>
                <w:i/>
                <w:sz w:val="24"/>
                <w:szCs w:val="24"/>
                <w:lang w:val="en-US"/>
              </w:rPr>
              <w:t>Cardiol</w:t>
            </w:r>
            <w:proofErr w:type="spellEnd"/>
            <w:r w:rsidRPr="00E9595A">
              <w:rPr>
                <w:rFonts w:eastAsia="TimesNewRomanPSMT"/>
                <w:i/>
                <w:sz w:val="24"/>
                <w:szCs w:val="24"/>
                <w:lang w:val="en-US"/>
              </w:rPr>
              <w:t>., 2016, no. 23, Vol. 223, pp. 797-804.</w:t>
            </w:r>
          </w:p>
        </w:tc>
      </w:tr>
      <w:tr w:rsidR="009A026D" w:rsidRPr="002A6607" w:rsidTr="00114105">
        <w:tc>
          <w:tcPr>
            <w:tcW w:w="9322" w:type="dxa"/>
          </w:tcPr>
          <w:p w:rsidR="009A026D" w:rsidRPr="00E9595A" w:rsidRDefault="009A026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6B2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57.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Winer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D.A.,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Winer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S.,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Chng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M.H.,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Shen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L., </w:t>
            </w:r>
            <w:proofErr w:type="spellStart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Engleman</w:t>
            </w:r>
            <w:proofErr w:type="spellEnd"/>
            <w:r w:rsidRPr="00E9595A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E.G. B Lymphocytes in obesity-related adipose tissue inflammation and insulin resistance. </w:t>
            </w:r>
            <w:r w:rsidRPr="00E9595A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Cell. Mol. Life Sci., 2014, Vol. 71(6), pp. 1033-1043.</w:t>
            </w:r>
          </w:p>
        </w:tc>
      </w:tr>
    </w:tbl>
    <w:p w:rsidR="009A026D" w:rsidRPr="00E9595A" w:rsidRDefault="009A026D" w:rsidP="009A026D">
      <w:pPr>
        <w:pStyle w:val="Default"/>
        <w:suppressAutoHyphens w:val="0"/>
        <w:autoSpaceDE w:val="0"/>
        <w:ind w:firstLine="284"/>
        <w:jc w:val="both"/>
        <w:rPr>
          <w:rFonts w:eastAsia="TimesNewRomanPS-BoldMT-Identity" w:cs="Times New Roman"/>
          <w:b/>
          <w:bCs/>
          <w:color w:val="auto"/>
          <w:lang w:val="en-US" w:eastAsia="ru-RU"/>
        </w:rPr>
      </w:pPr>
    </w:p>
    <w:p w:rsidR="009A026D" w:rsidRPr="00E9595A" w:rsidRDefault="009A026D" w:rsidP="009A026D">
      <w:pPr>
        <w:pStyle w:val="Default"/>
        <w:suppressAutoHyphens w:val="0"/>
        <w:autoSpaceDE w:val="0"/>
        <w:ind w:firstLine="284"/>
        <w:jc w:val="both"/>
        <w:rPr>
          <w:rFonts w:eastAsia="TimesNewRomanPS-BoldMT-Identity" w:cs="Times New Roman"/>
          <w:b/>
          <w:bCs/>
          <w:color w:val="auto"/>
          <w:lang w:val="en-US" w:eastAsia="ru-RU"/>
        </w:rPr>
      </w:pPr>
    </w:p>
    <w:p w:rsidR="00A11F2D" w:rsidRPr="00E9595A" w:rsidRDefault="00A11F2D" w:rsidP="009A026D">
      <w:pPr>
        <w:pStyle w:val="a8"/>
        <w:spacing w:line="360" w:lineRule="auto"/>
        <w:jc w:val="center"/>
        <w:rPr>
          <w:rFonts w:eastAsia="TimesNewRomanPS-BoldMT-Identity"/>
          <w:b/>
          <w:bCs/>
          <w:lang w:val="en-US"/>
        </w:rPr>
      </w:pPr>
    </w:p>
    <w:sectPr w:rsidR="00A11F2D" w:rsidRPr="00E9595A" w:rsidSect="005E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-Identity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imbusCy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73A83"/>
    <w:rsid w:val="0003443F"/>
    <w:rsid w:val="00044D61"/>
    <w:rsid w:val="00083EAE"/>
    <w:rsid w:val="00186043"/>
    <w:rsid w:val="001B4A36"/>
    <w:rsid w:val="00215EA9"/>
    <w:rsid w:val="002A6607"/>
    <w:rsid w:val="002E407D"/>
    <w:rsid w:val="00301357"/>
    <w:rsid w:val="005E3E4D"/>
    <w:rsid w:val="00601B89"/>
    <w:rsid w:val="0060318F"/>
    <w:rsid w:val="0066215E"/>
    <w:rsid w:val="008825C8"/>
    <w:rsid w:val="009A026D"/>
    <w:rsid w:val="00A11F2D"/>
    <w:rsid w:val="00B05EF2"/>
    <w:rsid w:val="00C70809"/>
    <w:rsid w:val="00C73A83"/>
    <w:rsid w:val="00DF24E4"/>
    <w:rsid w:val="00E53174"/>
    <w:rsid w:val="00E9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83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A83"/>
    <w:rPr>
      <w:color w:val="0000FF"/>
      <w:u w:val="single"/>
    </w:rPr>
  </w:style>
  <w:style w:type="paragraph" w:customStyle="1" w:styleId="Default">
    <w:name w:val="Default"/>
    <w:rsid w:val="00C73A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character" w:customStyle="1" w:styleId="tr-popupvalue">
    <w:name w:val="tr-popup__value"/>
    <w:basedOn w:val="a0"/>
    <w:rsid w:val="00C73A83"/>
  </w:style>
  <w:style w:type="table" w:styleId="a4">
    <w:name w:val="Table Grid"/>
    <w:basedOn w:val="a1"/>
    <w:uiPriority w:val="39"/>
    <w:rsid w:val="00A11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11F2D"/>
    <w:rPr>
      <w:i/>
      <w:iCs/>
    </w:rPr>
  </w:style>
  <w:style w:type="paragraph" w:styleId="a6">
    <w:name w:val="Normal (Web)"/>
    <w:basedOn w:val="a"/>
    <w:uiPriority w:val="99"/>
    <w:unhideWhenUsed/>
    <w:rsid w:val="00A11F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journaltitle">
    <w:name w:val="journaltitle"/>
    <w:basedOn w:val="a0"/>
    <w:rsid w:val="00A11F2D"/>
  </w:style>
  <w:style w:type="paragraph" w:styleId="a7">
    <w:name w:val="List Paragraph"/>
    <w:basedOn w:val="a"/>
    <w:uiPriority w:val="34"/>
    <w:qFormat/>
    <w:rsid w:val="00A11F2D"/>
    <w:pPr>
      <w:ind w:left="720"/>
      <w:contextualSpacing/>
    </w:pPr>
  </w:style>
  <w:style w:type="paragraph" w:styleId="a8">
    <w:name w:val="No Spacing"/>
    <w:uiPriority w:val="1"/>
    <w:qFormat/>
    <w:rsid w:val="00E959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journal/13311" TargetMode="External"/><Relationship Id="rId4" Type="http://schemas.openxmlformats.org/officeDocument/2006/relationships/hyperlink" Target="https://link.springer.com/journal/13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2020-01-03T13:57:00Z</dcterms:created>
  <dcterms:modified xsi:type="dcterms:W3CDTF">2020-01-03T14:57:00Z</dcterms:modified>
</cp:coreProperties>
</file>