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62" w:rsidRPr="00BE6D62" w:rsidRDefault="00BE6D62" w:rsidP="00BE6D62">
      <w:pPr>
        <w:jc w:val="both"/>
        <w:rPr>
          <w:rFonts w:ascii="Times New Roman" w:hAnsi="Times New Roman" w:cs="Times New Roman"/>
          <w:b/>
        </w:rPr>
      </w:pPr>
      <w:r w:rsidRPr="00BE6D62">
        <w:rPr>
          <w:rFonts w:ascii="Times New Roman" w:hAnsi="Times New Roman" w:cs="Times New Roman"/>
          <w:b/>
          <w:sz w:val="28"/>
          <w:szCs w:val="28"/>
        </w:rPr>
        <w:t xml:space="preserve">Таблица 3. Сравнительная характеристика дефектов в </w:t>
      </w:r>
      <w:proofErr w:type="spellStart"/>
      <w:r w:rsidRPr="00BE6D62">
        <w:rPr>
          <w:rFonts w:ascii="Times New Roman" w:hAnsi="Times New Roman" w:cs="Times New Roman"/>
          <w:b/>
          <w:sz w:val="28"/>
          <w:szCs w:val="28"/>
        </w:rPr>
        <w:t>гелевых</w:t>
      </w:r>
      <w:proofErr w:type="spellEnd"/>
      <w:r w:rsidRPr="00BE6D62">
        <w:rPr>
          <w:rFonts w:ascii="Times New Roman" w:hAnsi="Times New Roman" w:cs="Times New Roman"/>
          <w:b/>
          <w:sz w:val="28"/>
          <w:szCs w:val="28"/>
        </w:rPr>
        <w:t xml:space="preserve"> пробирках разных производителей на лабораторном этапе анализа в ОКБ ЦКЛД (</w:t>
      </w:r>
      <w:r w:rsidRPr="00BE6D62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E6D62">
        <w:rPr>
          <w:rFonts w:ascii="Times New Roman" w:hAnsi="Times New Roman" w:cs="Times New Roman"/>
          <w:b/>
          <w:sz w:val="28"/>
          <w:szCs w:val="28"/>
        </w:rPr>
        <w:t>=88)</w:t>
      </w:r>
      <w:r w:rsidRPr="00BE6D62">
        <w:rPr>
          <w:rFonts w:ascii="Times New Roman" w:hAnsi="Times New Roman" w:cs="Times New Roman"/>
          <w:b/>
        </w:rPr>
        <w:t xml:space="preserve"> </w:t>
      </w:r>
    </w:p>
    <w:p w:rsidR="00BE6D62" w:rsidRPr="00BE6D62" w:rsidRDefault="00BE6D62" w:rsidP="00BE6D6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6D62">
        <w:rPr>
          <w:rFonts w:ascii="Times New Roman" w:hAnsi="Times New Roman" w:cs="Times New Roman"/>
          <w:bCs/>
          <w:sz w:val="28"/>
          <w:szCs w:val="28"/>
          <w:lang w:val="en-US"/>
        </w:rPr>
        <w:t>Table 3.</w:t>
      </w:r>
      <w:proofErr w:type="gramEnd"/>
      <w:r w:rsidRPr="00BE6D6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Comparative characteristics of defects in gel tubes of different manufacturers at the laboratory stage of analysis in the Department of clinical biochemistry of the center for clinical laboratory diagnostics </w:t>
      </w:r>
      <w:r w:rsidRPr="00BE6D62">
        <w:rPr>
          <w:rFonts w:ascii="Times New Roman" w:hAnsi="Times New Roman" w:cs="Times New Roman"/>
          <w:sz w:val="28"/>
          <w:szCs w:val="28"/>
          <w:lang w:val="en-US"/>
        </w:rPr>
        <w:t>(n=88)</w:t>
      </w:r>
    </w:p>
    <w:p w:rsidR="00BE6D62" w:rsidRPr="00BE6D62" w:rsidRDefault="00BE6D62" w:rsidP="00BE6D62">
      <w:pPr>
        <w:jc w:val="both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vertAnchor="text" w:horzAnchor="margin" w:tblpY="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55"/>
        <w:gridCol w:w="425"/>
        <w:gridCol w:w="286"/>
        <w:gridCol w:w="565"/>
        <w:gridCol w:w="427"/>
        <w:gridCol w:w="283"/>
        <w:gridCol w:w="565"/>
        <w:gridCol w:w="428"/>
        <w:gridCol w:w="283"/>
        <w:gridCol w:w="423"/>
        <w:gridCol w:w="428"/>
        <w:gridCol w:w="425"/>
        <w:gridCol w:w="424"/>
        <w:gridCol w:w="426"/>
        <w:gridCol w:w="425"/>
        <w:gridCol w:w="378"/>
        <w:gridCol w:w="236"/>
        <w:gridCol w:w="521"/>
        <w:gridCol w:w="237"/>
        <w:gridCol w:w="248"/>
        <w:gridCol w:w="249"/>
        <w:gridCol w:w="248"/>
        <w:gridCol w:w="246"/>
        <w:gridCol w:w="474"/>
        <w:gridCol w:w="519"/>
        <w:gridCol w:w="474"/>
      </w:tblGrid>
      <w:tr w:rsidR="00BE6D62" w:rsidRPr="00BE6D62" w:rsidTr="007B13E8">
        <w:trPr>
          <w:trHeight w:val="134"/>
        </w:trPr>
        <w:tc>
          <w:tcPr>
            <w:tcW w:w="9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E6D62" w:rsidRPr="00BE6D62" w:rsidRDefault="00BE6D62" w:rsidP="00910B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Производители</w:t>
            </w:r>
          </w:p>
          <w:p w:rsidR="00BE6D62" w:rsidRPr="00BE6D62" w:rsidRDefault="00BE6D62" w:rsidP="00910B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Manufacturers</w:t>
            </w:r>
          </w:p>
          <w:p w:rsidR="00BE6D62" w:rsidRPr="00BE6D62" w:rsidRDefault="00BE6D62" w:rsidP="00910B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BE6D62" w:rsidRPr="00BE6D62" w:rsidRDefault="00BE6D62" w:rsidP="00910B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Evaluation criterion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6D62" w:rsidRPr="00BE6D62" w:rsidRDefault="00BE6D62" w:rsidP="00910B0E">
            <w:pPr>
              <w:ind w:left="-6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BE6D62" w:rsidRPr="00BE6D62" w:rsidRDefault="00BE6D62" w:rsidP="00910B0E">
            <w:pPr>
              <w:ind w:left="-6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дефектов</w:t>
            </w:r>
          </w:p>
          <w:p w:rsidR="00BE6D62" w:rsidRPr="00BE6D62" w:rsidRDefault="00BE6D62" w:rsidP="00910B0E">
            <w:pPr>
              <w:ind w:left="-6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defects</w:t>
            </w:r>
          </w:p>
          <w:p w:rsidR="00BE6D62" w:rsidRPr="00BE6D62" w:rsidRDefault="00BE6D62" w:rsidP="00910B0E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D62" w:rsidRPr="00BE6D62" w:rsidTr="007B13E8">
        <w:trPr>
          <w:trHeight w:val="252"/>
        </w:trPr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цетрифугирования</w:t>
            </w:r>
            <w:proofErr w:type="spellEnd"/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Before centrifugation</w:t>
            </w:r>
          </w:p>
        </w:tc>
        <w:tc>
          <w:tcPr>
            <w:tcW w:w="60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После центрифугирования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 centrifugation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BE6D62" w:rsidRPr="00BE6D62" w:rsidRDefault="00BE6D62" w:rsidP="00910B0E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D62" w:rsidRPr="007B13E8" w:rsidTr="007B13E8">
        <w:trPr>
          <w:trHeight w:val="271"/>
        </w:trPr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Внешний вид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Appearance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Вакуум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Vacuum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Внешний вид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Appearance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Раздели-</w:t>
            </w:r>
          </w:p>
          <w:p w:rsidR="00BE6D62" w:rsidRPr="00BE6D62" w:rsidRDefault="00BE6D62" w:rsidP="00910B0E">
            <w:pPr>
              <w:ind w:left="-10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тельный</w:t>
            </w:r>
          </w:p>
          <w:p w:rsidR="00BE6D62" w:rsidRPr="00BE6D62" w:rsidRDefault="00BE6D62" w:rsidP="00910B0E">
            <w:pPr>
              <w:ind w:left="-10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гель</w:t>
            </w:r>
          </w:p>
          <w:p w:rsidR="00BE6D62" w:rsidRPr="00BE6D62" w:rsidRDefault="00BE6D62" w:rsidP="00910B0E">
            <w:pPr>
              <w:ind w:left="-10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separation </w:t>
            </w:r>
          </w:p>
          <w:p w:rsidR="00BE6D62" w:rsidRPr="00BE6D62" w:rsidRDefault="00BE6D62" w:rsidP="00910B0E">
            <w:pPr>
              <w:ind w:left="-10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  <w:r w:rsidRPr="00BE6D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сыворотки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quality of the serum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BE6D62" w:rsidRPr="00BE6D62" w:rsidRDefault="00BE6D62" w:rsidP="00910B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6D62" w:rsidRPr="00BE6D62" w:rsidTr="007B13E8">
        <w:trPr>
          <w:trHeight w:val="563"/>
        </w:trPr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Крышка и пробирка</w:t>
            </w:r>
          </w:p>
          <w:p w:rsidR="00BE6D62" w:rsidRPr="00BE6D62" w:rsidRDefault="00BE6D62" w:rsidP="00910B0E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</w:t>
            </w: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vial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заполнения</w:t>
            </w:r>
            <w:r w:rsidRPr="00BE6D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пробирки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fill level of the vial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Крышка и пробирка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</w:t>
            </w: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vial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Открытие</w:t>
            </w:r>
            <w:r w:rsidRPr="00BE6D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крышки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Opening the lid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Отсут</w:t>
            </w:r>
            <w:proofErr w:type="spellEnd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ствие</w:t>
            </w:r>
            <w:proofErr w:type="spellEnd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срезания пластика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cutting</w:t>
            </w: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plastic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6D62" w:rsidRPr="00BE6D62" w:rsidRDefault="00BE6D62" w:rsidP="00910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62" w:rsidRPr="00BE6D62" w:rsidTr="007B13E8">
        <w:trPr>
          <w:trHeight w:val="282"/>
        </w:trPr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1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ВИ</w:t>
            </w:r>
          </w:p>
          <w:p w:rsidR="00BE6D62" w:rsidRPr="00BE6D62" w:rsidRDefault="00BE6D62" w:rsidP="00910B0E">
            <w:pPr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Vh</w:t>
            </w:r>
            <w:proofErr w:type="spellEnd"/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деф</w:t>
            </w:r>
            <w:proofErr w:type="spellEnd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Pr="00BE6D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ВИ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деф</w:t>
            </w:r>
            <w:proofErr w:type="spellEnd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Pr="00BE6D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6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ВИ</w:t>
            </w:r>
          </w:p>
          <w:p w:rsidR="00BE6D62" w:rsidRPr="00BE6D62" w:rsidRDefault="00BE6D62" w:rsidP="00910B0E">
            <w:pPr>
              <w:ind w:left="-6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деф</w:t>
            </w:r>
            <w:proofErr w:type="spellEnd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Pr="00BE6D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ВИ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Vh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деф</w:t>
            </w:r>
            <w:proofErr w:type="spellEnd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Pr="00BE6D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деф</w:t>
            </w:r>
            <w:proofErr w:type="spellEnd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Pr="00BE6D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242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</w:p>
          <w:p w:rsidR="00BE6D62" w:rsidRPr="00BE6D62" w:rsidRDefault="00BE6D62" w:rsidP="00910B0E">
            <w:pPr>
              <w:ind w:left="-242" w:right="-25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6D6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MCH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BE6D62" w:rsidRPr="00BE6D62" w:rsidRDefault="00BE6D62" w:rsidP="00910B0E">
            <w:pPr>
              <w:ind w:left="-108" w:right="-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деф</w:t>
            </w:r>
            <w:proofErr w:type="spellEnd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6D62" w:rsidRPr="00BE6D62" w:rsidRDefault="00BE6D62" w:rsidP="00910B0E">
            <w:pPr>
              <w:ind w:left="-108" w:right="-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Pr="00BE6D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62" w:rsidRPr="00BE6D62" w:rsidRDefault="00BE6D62" w:rsidP="00910B0E">
            <w:pPr>
              <w:tabs>
                <w:tab w:val="left" w:pos="459"/>
              </w:tabs>
              <w:ind w:left="-108" w:right="-1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BE6D62" w:rsidRPr="00BE6D62" w:rsidRDefault="00BE6D62" w:rsidP="00910B0E">
            <w:pPr>
              <w:tabs>
                <w:tab w:val="left" w:pos="459"/>
              </w:tabs>
              <w:ind w:left="-108" w:right="-1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деф</w:t>
            </w:r>
            <w:proofErr w:type="spellEnd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6D62" w:rsidRPr="00BE6D62" w:rsidRDefault="00BE6D62" w:rsidP="00910B0E">
            <w:pPr>
              <w:tabs>
                <w:tab w:val="left" w:pos="459"/>
              </w:tabs>
              <w:ind w:left="-108" w:right="-15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Pr="00BE6D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D62" w:rsidRPr="00BE6D62" w:rsidRDefault="00BE6D62" w:rsidP="00910B0E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абс</w:t>
            </w:r>
            <w:proofErr w:type="spellEnd"/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6D62" w:rsidRPr="00BE6D62" w:rsidRDefault="00BE6D62" w:rsidP="00910B0E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abs.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D62" w:rsidRPr="00BE6D62" w:rsidRDefault="00BE6D62" w:rsidP="00910B0E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E6D62" w:rsidRPr="00BE6D62" w:rsidTr="007B13E8">
        <w:trPr>
          <w:trHeight w:val="1315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Китай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6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242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4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tabs>
                <w:tab w:val="left" w:pos="459"/>
              </w:tabs>
              <w:ind w:left="-108" w:right="-154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BE6D62" w:rsidRPr="00BE6D62" w:rsidTr="007B13E8">
        <w:trPr>
          <w:trHeight w:val="1702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Австрия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6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242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4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tabs>
                <w:tab w:val="left" w:pos="459"/>
              </w:tabs>
              <w:ind w:left="-108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BE6D62" w:rsidRPr="00BE6D62" w:rsidTr="007B13E8">
        <w:trPr>
          <w:trHeight w:val="1102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США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6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242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4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tabs>
                <w:tab w:val="left" w:pos="459"/>
              </w:tabs>
              <w:ind w:left="-108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E6D62" w:rsidRPr="00BE6D62" w:rsidTr="007B13E8">
        <w:trPr>
          <w:trHeight w:val="1274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6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242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4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ind w:left="-108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62" w:rsidRPr="00BE6D62" w:rsidRDefault="00BE6D62" w:rsidP="00910B0E">
            <w:pPr>
              <w:tabs>
                <w:tab w:val="left" w:pos="459"/>
              </w:tabs>
              <w:ind w:left="-108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2" w:rsidRPr="00BE6D62" w:rsidRDefault="00BE6D62" w:rsidP="0091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6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</w:tbl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6D62" w:rsidRPr="00BE6D62" w:rsidRDefault="00BE6D62" w:rsidP="00BE6D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E6D62">
        <w:rPr>
          <w:rFonts w:ascii="Times New Roman" w:hAnsi="Times New Roman" w:cs="Times New Roman"/>
          <w:b/>
          <w:bCs/>
          <w:sz w:val="20"/>
          <w:szCs w:val="20"/>
        </w:rPr>
        <w:t xml:space="preserve">Примечание. Критерии оценки до центрифугирования: Крышка и пробирка: ВИ – незначительные дефекты; </w:t>
      </w:r>
      <w:proofErr w:type="gramStart"/>
      <w:r w:rsidRPr="00BE6D62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  <w:r w:rsidRPr="00BE6D62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proofErr w:type="gramStart"/>
      <w:r w:rsidRPr="00BE6D62">
        <w:rPr>
          <w:rFonts w:ascii="Times New Roman" w:hAnsi="Times New Roman" w:cs="Times New Roman"/>
          <w:b/>
          <w:bCs/>
          <w:sz w:val="20"/>
          <w:szCs w:val="20"/>
        </w:rPr>
        <w:t>есть</w:t>
      </w:r>
      <w:proofErr w:type="gramEnd"/>
      <w:r w:rsidRPr="00BE6D62">
        <w:rPr>
          <w:rFonts w:ascii="Times New Roman" w:hAnsi="Times New Roman" w:cs="Times New Roman"/>
          <w:b/>
          <w:bCs/>
          <w:sz w:val="20"/>
          <w:szCs w:val="20"/>
        </w:rPr>
        <w:t xml:space="preserve"> сколы и трещины. Уровень заполнения пробирки: ВИ – отклонение в пределах 10%; В – отклонение более 10%. Качество сыворотки: 1 – </w:t>
      </w:r>
      <w:proofErr w:type="spellStart"/>
      <w:r w:rsidRPr="00BE6D62">
        <w:rPr>
          <w:rFonts w:ascii="Times New Roman" w:hAnsi="Times New Roman" w:cs="Times New Roman"/>
          <w:b/>
          <w:bCs/>
          <w:sz w:val="20"/>
          <w:szCs w:val="20"/>
        </w:rPr>
        <w:t>фибриновый</w:t>
      </w:r>
      <w:proofErr w:type="spellEnd"/>
      <w:r w:rsidRPr="00BE6D62">
        <w:rPr>
          <w:rFonts w:ascii="Times New Roman" w:hAnsi="Times New Roman" w:cs="Times New Roman"/>
          <w:b/>
          <w:bCs/>
          <w:sz w:val="20"/>
          <w:szCs w:val="20"/>
        </w:rPr>
        <w:t xml:space="preserve"> столбик; 2 – включения и </w:t>
      </w:r>
      <w:proofErr w:type="spellStart"/>
      <w:r w:rsidRPr="00BE6D62">
        <w:rPr>
          <w:rFonts w:ascii="Times New Roman" w:hAnsi="Times New Roman" w:cs="Times New Roman"/>
          <w:b/>
          <w:bCs/>
          <w:sz w:val="20"/>
          <w:szCs w:val="20"/>
        </w:rPr>
        <w:t>микросгустки</w:t>
      </w:r>
      <w:proofErr w:type="spellEnd"/>
      <w:r w:rsidRPr="00BE6D62">
        <w:rPr>
          <w:rFonts w:ascii="Times New Roman" w:hAnsi="Times New Roman" w:cs="Times New Roman"/>
          <w:b/>
          <w:bCs/>
          <w:sz w:val="20"/>
          <w:szCs w:val="20"/>
        </w:rPr>
        <w:t xml:space="preserve">; 3 – лентовидный сгусток; 4 – следы кровяных клеток на внутренней стенке пробирки; 5 – гемолиз. После центрифугирования: Крышка и пробирка: ВИ – незначительные дефекты, криво посажен колпачок; </w:t>
      </w:r>
      <w:proofErr w:type="gramStart"/>
      <w:r w:rsidRPr="00BE6D62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  <w:r w:rsidRPr="00BE6D62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proofErr w:type="gramStart"/>
      <w:r w:rsidRPr="00BE6D62">
        <w:rPr>
          <w:rFonts w:ascii="Times New Roman" w:hAnsi="Times New Roman" w:cs="Times New Roman"/>
          <w:b/>
          <w:bCs/>
          <w:sz w:val="20"/>
          <w:szCs w:val="20"/>
        </w:rPr>
        <w:t>есть</w:t>
      </w:r>
      <w:proofErr w:type="gramEnd"/>
      <w:r w:rsidRPr="00BE6D62">
        <w:rPr>
          <w:rFonts w:ascii="Times New Roman" w:hAnsi="Times New Roman" w:cs="Times New Roman"/>
          <w:b/>
          <w:bCs/>
          <w:sz w:val="20"/>
          <w:szCs w:val="20"/>
        </w:rPr>
        <w:t xml:space="preserve"> сколы, трещины, отсутствует колпачок. Открытие крышки: НИ – открывается с усилием; </w:t>
      </w:r>
      <w:proofErr w:type="gramStart"/>
      <w:r w:rsidRPr="00BE6D62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  <w:r w:rsidRPr="00BE6D62">
        <w:rPr>
          <w:rFonts w:ascii="Times New Roman" w:hAnsi="Times New Roman" w:cs="Times New Roman"/>
          <w:b/>
          <w:bCs/>
          <w:sz w:val="20"/>
          <w:szCs w:val="20"/>
        </w:rPr>
        <w:t xml:space="preserve"> – внешний колпачок снимается, внутренняя резиновая пробка остается в пробирке. Разделительный гель: НИ – неравномерно </w:t>
      </w:r>
      <w:proofErr w:type="gramStart"/>
      <w:r w:rsidRPr="00BE6D62">
        <w:rPr>
          <w:rFonts w:ascii="Times New Roman" w:hAnsi="Times New Roman" w:cs="Times New Roman"/>
          <w:b/>
          <w:bCs/>
          <w:sz w:val="20"/>
          <w:szCs w:val="20"/>
        </w:rPr>
        <w:t>распределен</w:t>
      </w:r>
      <w:proofErr w:type="gramEnd"/>
      <w:r w:rsidRPr="00BE6D62">
        <w:rPr>
          <w:rFonts w:ascii="Times New Roman" w:hAnsi="Times New Roman" w:cs="Times New Roman"/>
          <w:b/>
          <w:bCs/>
          <w:sz w:val="20"/>
          <w:szCs w:val="20"/>
        </w:rPr>
        <w:t>, скошен; В – растекся по стенкам, либо образовал «</w:t>
      </w:r>
      <w:proofErr w:type="spellStart"/>
      <w:r w:rsidRPr="00BE6D62">
        <w:rPr>
          <w:rFonts w:ascii="Times New Roman" w:hAnsi="Times New Roman" w:cs="Times New Roman"/>
          <w:b/>
          <w:bCs/>
          <w:sz w:val="20"/>
          <w:szCs w:val="20"/>
        </w:rPr>
        <w:t>шупальца</w:t>
      </w:r>
      <w:proofErr w:type="spellEnd"/>
      <w:r w:rsidRPr="00BE6D62">
        <w:rPr>
          <w:rFonts w:ascii="Times New Roman" w:hAnsi="Times New Roman" w:cs="Times New Roman"/>
          <w:b/>
          <w:bCs/>
          <w:sz w:val="20"/>
          <w:szCs w:val="20"/>
        </w:rPr>
        <w:t>» в зоне сыворотки или форменных элементов.</w:t>
      </w:r>
    </w:p>
    <w:p w:rsidR="00BE6D62" w:rsidRPr="00BE6D62" w:rsidRDefault="00BE6D62" w:rsidP="00BE6D62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>Note.</w:t>
      </w:r>
      <w:r w:rsidRPr="00BE6D6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visible change; R, rejection; </w:t>
      </w:r>
      <w:r w:rsidRPr="00BE6D62">
        <w:rPr>
          <w:rFonts w:ascii="Times New Roman" w:hAnsi="Times New Roman" w:cs="Times New Roman"/>
          <w:sz w:val="20"/>
          <w:szCs w:val="20"/>
          <w:lang w:val="en-US"/>
        </w:rPr>
        <w:t xml:space="preserve">abs., absolute number; </w:t>
      </w:r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>% def., percentage of defects; MCH, minor change.</w:t>
      </w:r>
      <w:r w:rsidRPr="00BE6D62">
        <w:rPr>
          <w:rFonts w:ascii="Times New Roman" w:hAnsi="Times New Roman" w:cs="Times New Roman"/>
          <w:sz w:val="20"/>
          <w:szCs w:val="20"/>
          <w:lang w:val="en-US"/>
        </w:rPr>
        <w:t xml:space="preserve"> Evaluation criterion before centrifugation: Cap and vial: </w:t>
      </w:r>
      <w:proofErr w:type="spellStart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slight defect; R, there are chips and cracks. </w:t>
      </w:r>
      <w:r w:rsidRPr="00BE6D62">
        <w:rPr>
          <w:rFonts w:ascii="Times New Roman" w:hAnsi="Times New Roman" w:cs="Times New Roman"/>
          <w:sz w:val="20"/>
          <w:szCs w:val="20"/>
          <w:lang w:val="en-US"/>
        </w:rPr>
        <w:t>The fill level of the vial: deviation within 10%</w:t>
      </w:r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; R, </w:t>
      </w:r>
      <w:r w:rsidRPr="00BE6D62">
        <w:rPr>
          <w:rFonts w:ascii="Times New Roman" w:hAnsi="Times New Roman" w:cs="Times New Roman"/>
          <w:sz w:val="20"/>
          <w:szCs w:val="20"/>
          <w:lang w:val="en-US"/>
        </w:rPr>
        <w:t>deviation more than 10%. The quality of the serum: 1, fibrin column</w:t>
      </w:r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; 2, </w:t>
      </w:r>
      <w:proofErr w:type="spellStart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>microguide</w:t>
      </w:r>
      <w:proofErr w:type="spellEnd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; 3, ribbon-shaped clot; 4, traces of blood cells on the inner wall of the test tube; 5, </w:t>
      </w:r>
      <w:proofErr w:type="spellStart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>hymolysis</w:t>
      </w:r>
      <w:proofErr w:type="spellEnd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Pr="00BE6D62">
        <w:rPr>
          <w:rFonts w:ascii="Times New Roman" w:hAnsi="Times New Roman" w:cs="Times New Roman"/>
          <w:sz w:val="20"/>
          <w:szCs w:val="20"/>
          <w:lang w:val="en-US"/>
        </w:rPr>
        <w:t xml:space="preserve">Evaluation criterion after centrifugation: Cap and vial: </w:t>
      </w:r>
      <w:proofErr w:type="spellStart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slight defect, the cap is crooked; R, there are chips and cracks, missing cap. </w:t>
      </w:r>
      <w:r w:rsidRPr="00BE6D62">
        <w:rPr>
          <w:rFonts w:ascii="Times New Roman" w:hAnsi="Times New Roman" w:cs="Times New Roman"/>
          <w:sz w:val="20"/>
          <w:szCs w:val="20"/>
          <w:lang w:val="en-US"/>
        </w:rPr>
        <w:t xml:space="preserve">Opening the lid: </w:t>
      </w:r>
      <w:proofErr w:type="spellStart"/>
      <w:proofErr w:type="gramStart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proofErr w:type="gramEnd"/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opens with effort; R, the outer cap is removable, the inner rubber stopper remains in the test tube. </w:t>
      </w:r>
      <w:r w:rsidRPr="00BE6D62">
        <w:rPr>
          <w:rFonts w:ascii="Times New Roman" w:hAnsi="Times New Roman" w:cs="Times New Roman"/>
          <w:sz w:val="20"/>
          <w:szCs w:val="20"/>
          <w:lang w:val="en-US"/>
        </w:rPr>
        <w:t>The separation gel:</w:t>
      </w:r>
      <w:r w:rsidRPr="00BE6D6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MCH, unevenly distributed, sloping; R, the gel spread over the walls of the test tube or formed tentacles in the area of serum or shaped elements.</w:t>
      </w:r>
    </w:p>
    <w:p w:rsidR="006D40BC" w:rsidRPr="00BE6D62" w:rsidRDefault="006D40BC">
      <w:pPr>
        <w:rPr>
          <w:lang w:val="en-US"/>
        </w:rPr>
      </w:pPr>
    </w:p>
    <w:sectPr w:rsidR="006D40BC" w:rsidRPr="00BE6D62" w:rsidSect="00BE6D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6D62"/>
    <w:rsid w:val="006D40BC"/>
    <w:rsid w:val="007B13E8"/>
    <w:rsid w:val="00B255C6"/>
    <w:rsid w:val="00BE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Перьянова</cp:lastModifiedBy>
  <cp:revision>3</cp:revision>
  <dcterms:created xsi:type="dcterms:W3CDTF">2019-12-20T06:40:00Z</dcterms:created>
  <dcterms:modified xsi:type="dcterms:W3CDTF">2019-12-23T09:54:00Z</dcterms:modified>
</cp:coreProperties>
</file>