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09" w:rsidRDefault="006C6109" w:rsidP="00183A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A36" w:rsidRPr="00183A36" w:rsidRDefault="00183A36" w:rsidP="00183A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A36">
        <w:rPr>
          <w:rFonts w:ascii="Times New Roman" w:hAnsi="Times New Roman" w:cs="Times New Roman"/>
          <w:b/>
          <w:sz w:val="28"/>
          <w:szCs w:val="28"/>
        </w:rPr>
        <w:t>Список литературы/</w:t>
      </w:r>
      <w:r w:rsidRPr="00183A36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529"/>
        <w:gridCol w:w="4961"/>
        <w:gridCol w:w="3827"/>
      </w:tblGrid>
      <w:tr w:rsidR="00792627" w:rsidRPr="00595D17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:rsidR="00183A36" w:rsidRPr="00183A36" w:rsidRDefault="003301EA" w:rsidP="00330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Бугров А.В., Долгов В.В., Казаков С.П.,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Миронова И.И., Почтарь М.Е.,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Ройтман А.П., Романова Л.А., Селиванова А.В., Соснин Д.Ю.,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И.П., Шевченко О.П.,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Щетникович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Клиническая лабораторная диагностика: учебник, в 2 т. Т. 1 / 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Start"/>
            <w:r w:rsidR="00C72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726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ед. проф. В.В. Долгова.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>М.: ООО «</w:t>
            </w:r>
            <w:proofErr w:type="spellStart"/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>Лабдиаг</w:t>
            </w:r>
            <w:proofErr w:type="spellEnd"/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>», 2017. – 464 с.</w:t>
            </w:r>
          </w:p>
        </w:tc>
        <w:tc>
          <w:tcPr>
            <w:tcW w:w="4961" w:type="dxa"/>
          </w:tcPr>
          <w:p w:rsidR="00183A36" w:rsidRPr="003301EA" w:rsidRDefault="00183A36" w:rsidP="00183A36">
            <w:pPr>
              <w:autoSpaceDE w:val="0"/>
              <w:autoSpaceDN w:val="0"/>
              <w:adjustRightInd w:val="0"/>
              <w:spacing w:after="4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Bugrov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Dolgov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Kazakov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0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Lugovskaya</w:t>
            </w:r>
            <w:proofErr w:type="spellEnd"/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0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330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Mironova</w:t>
            </w:r>
            <w:proofErr w:type="spellEnd"/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0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0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Pochtar</w:t>
            </w:r>
            <w:proofErr w:type="spellEnd"/>
            <w:r w:rsidR="003301EA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Rakova</w:t>
            </w:r>
            <w:proofErr w:type="spellEnd"/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Roitman</w:t>
            </w:r>
            <w:proofErr w:type="spellEnd"/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Romanova</w:t>
            </w:r>
            <w:proofErr w:type="spellEnd"/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Selivanova</w:t>
            </w:r>
            <w:proofErr w:type="spellEnd"/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Sosnin</w:t>
            </w:r>
            <w:proofErr w:type="spellEnd"/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Shabalova</w:t>
            </w:r>
            <w:proofErr w:type="spellEnd"/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Shevchenko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Schetnikovich</w:t>
            </w:r>
            <w:proofErr w:type="spellEnd"/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F3BF7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Clinical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laboratory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diagnostics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textbook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Pr="003301E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Labdiag</w:t>
            </w:r>
            <w:proofErr w:type="spellEnd"/>
            <w:r w:rsidRPr="003301EA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  <w:r w:rsidR="00A26710" w:rsidRPr="003301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01EA">
              <w:rPr>
                <w:rFonts w:ascii="Times New Roman" w:hAnsi="Times New Roman" w:cs="Times New Roman"/>
                <w:sz w:val="28"/>
                <w:szCs w:val="28"/>
              </w:rPr>
              <w:t xml:space="preserve"> 464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30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3A36" w:rsidRPr="003301EA" w:rsidRDefault="00183A36" w:rsidP="0018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83A36" w:rsidRDefault="00BE0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595D17" w:rsidRPr="00595D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https://elibrary.ru/item.asp?id=38495001</w:t>
              </w:r>
            </w:hyperlink>
          </w:p>
          <w:p w:rsidR="00595D17" w:rsidRPr="00595D17" w:rsidRDefault="00595D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978-5-7249-2608-9</w:t>
            </w:r>
          </w:p>
        </w:tc>
      </w:tr>
      <w:tr w:rsidR="00792627" w:rsidRPr="00183A36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:rsidR="00183A36" w:rsidRPr="00183A36" w:rsidRDefault="00183A36" w:rsidP="0018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53079.4-2008 Технологии лабораторные клинические. Обеспечение качества клинических лабораторных исследований. Часть 4. Правила ведения </w:t>
            </w:r>
            <w:proofErr w:type="spellStart"/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преаналитического</w:t>
            </w:r>
            <w:proofErr w:type="spellEnd"/>
            <w:r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этапа</w:t>
            </w:r>
          </w:p>
        </w:tc>
        <w:tc>
          <w:tcPr>
            <w:tcW w:w="4961" w:type="dxa"/>
          </w:tcPr>
          <w:p w:rsidR="00183A36" w:rsidRPr="00183A36" w:rsidRDefault="0025775A" w:rsidP="0018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State standard R 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53079.4-2008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Clinical laboratory technologies. Quality assurance of clinical laboratory tests. Part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Rules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conducting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preanalytical</w:t>
            </w:r>
            <w:proofErr w:type="spellEnd"/>
            <w:r w:rsidR="00183A36"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stage</w:t>
            </w:r>
          </w:p>
        </w:tc>
        <w:tc>
          <w:tcPr>
            <w:tcW w:w="3827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:rsidR="00183A36" w:rsidRPr="00183A36" w:rsidRDefault="00183A36" w:rsidP="00183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ГОСТ ISO-6710-2011 «Контейнеры для сбора образцов венозной крови одноразовые. </w:t>
            </w:r>
            <w:proofErr w:type="gramStart"/>
            <w:r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и методы испытаний» (введен в действие приказом Федерального агентства по техническому регулированию и метрологии от 13 декабря 2011 г. </w:t>
            </w:r>
            <w:r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 xml:space="preserve"> 1379-ст.</w:t>
            </w:r>
            <w:proofErr w:type="gramEnd"/>
          </w:p>
        </w:tc>
        <w:tc>
          <w:tcPr>
            <w:tcW w:w="4961" w:type="dxa"/>
          </w:tcPr>
          <w:p w:rsidR="00183A36" w:rsidRPr="0025775A" w:rsidRDefault="0025775A" w:rsidP="002577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State standard 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ISO-6710-2011 «</w:t>
            </w:r>
            <w:r w:rsidR="00183A36" w:rsidRPr="00183A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Single-use containers for venous blood specimen collection. Technical requirements and test methods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 standard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put into effect by the order of Federal Agency for technical regulation and Metrology of December 13, 2011 N1379-st</w:t>
            </w:r>
          </w:p>
        </w:tc>
        <w:tc>
          <w:tcPr>
            <w:tcW w:w="3827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25775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:rsidR="0025775A" w:rsidRPr="0025775A" w:rsidRDefault="0025775A" w:rsidP="0025775A">
            <w:pPr>
              <w:autoSpaceDE w:val="0"/>
              <w:autoSpaceDN w:val="0"/>
              <w:adjustRightInd w:val="0"/>
              <w:spacing w:after="40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775A">
              <w:rPr>
                <w:rFonts w:ascii="Times New Roman" w:hAnsi="Times New Roman" w:cs="Times New Roman"/>
                <w:sz w:val="28"/>
                <w:szCs w:val="28"/>
              </w:rPr>
              <w:t xml:space="preserve">ГОСТ ISO 10993-4-2011 Изделия медицинские. Оценка биологического действия медицинских изделий. Часть 4. Исследования изделий, взаимодействующих с кровью. </w:t>
            </w:r>
          </w:p>
          <w:p w:rsidR="00183A36" w:rsidRPr="0025775A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183A36" w:rsidRPr="00536462" w:rsidRDefault="00536462" w:rsidP="00536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standard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ISO 10993-4-2011 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devices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25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Biological evaluation of medical devices. Part 4. Selection of tests for interactions with blood</w:t>
            </w:r>
          </w:p>
        </w:tc>
        <w:tc>
          <w:tcPr>
            <w:tcW w:w="3827" w:type="dxa"/>
          </w:tcPr>
          <w:p w:rsidR="00183A36" w:rsidRPr="0025775A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183A36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29" w:type="dxa"/>
          </w:tcPr>
          <w:p w:rsidR="00536462" w:rsidRPr="00536462" w:rsidRDefault="00E60429" w:rsidP="00536462">
            <w:pPr>
              <w:autoSpaceDE w:val="0"/>
              <w:autoSpaceDN w:val="0"/>
              <w:adjustRightInd w:val="0"/>
              <w:spacing w:after="40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Гудер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В.Г., </w:t>
            </w:r>
            <w:proofErr w:type="spellStart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Нарайанан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С., </w:t>
            </w:r>
            <w:proofErr w:type="spellStart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Виссер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Г., </w:t>
            </w:r>
            <w:proofErr w:type="spellStart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Цавта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</w:rPr>
              <w:t>. Диагностические пробы: от пациента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до лаборатории / Перевод с англ. Меньшикова В.В. –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 4-е изд. – М.: </w:t>
            </w:r>
            <w:proofErr w:type="spellStart"/>
            <w:r w:rsidR="00C72625">
              <w:rPr>
                <w:rFonts w:ascii="Times New Roman" w:hAnsi="Times New Roman" w:cs="Times New Roman"/>
                <w:sz w:val="28"/>
                <w:szCs w:val="28"/>
              </w:rPr>
              <w:t>Лабора</w:t>
            </w:r>
            <w:proofErr w:type="spellEnd"/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, 2010. </w:t>
            </w:r>
            <w:r w:rsidR="00A26710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117 </w:t>
            </w:r>
            <w:proofErr w:type="gramStart"/>
            <w:r w:rsidR="00536462" w:rsidRPr="005364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36462"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3A36" w:rsidRPr="002F3BF7" w:rsidRDefault="002F3BF7" w:rsidP="00A2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Guder</w:t>
            </w:r>
            <w:proofErr w:type="spellEnd"/>
            <w:r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Naraianan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Visser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Cavta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Diagnostic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samples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patient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</w:t>
            </w:r>
            <w:proofErr w:type="spellEnd"/>
            <w:r w:rsidR="00536462" w:rsidRPr="002F3BF7">
              <w:rPr>
                <w:rFonts w:ascii="Times New Roman" w:hAnsi="Times New Roman" w:cs="Times New Roman"/>
                <w:sz w:val="28"/>
                <w:szCs w:val="28"/>
              </w:rPr>
              <w:t>, 2010</w:t>
            </w:r>
            <w:r w:rsidR="00A26710" w:rsidRPr="002F3B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</w:rPr>
              <w:t xml:space="preserve"> 117 </w:t>
            </w:r>
            <w:r w:rsidR="00536462"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536462" w:rsidRPr="002F3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83A36" w:rsidRPr="00183A36" w:rsidRDefault="00595D17" w:rsidP="00595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F3BF7">
              <w:rPr>
                <w:rFonts w:ascii="Times New Roman" w:hAnsi="Times New Roman" w:cs="Times New Roman"/>
                <w:sz w:val="28"/>
                <w:szCs w:val="28"/>
              </w:rPr>
              <w:t>978-3-527-32307-4</w:t>
            </w:r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:rsidR="00183A36" w:rsidRPr="0094718F" w:rsidRDefault="00536462" w:rsidP="00C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Дымова О.В. Индикаторы качества на различных этапах проведения лабораторных исследований /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>/ Справочник заведующего КЛД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 2018.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№ 9.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С. 16-24. </w:t>
            </w:r>
          </w:p>
        </w:tc>
        <w:tc>
          <w:tcPr>
            <w:tcW w:w="4961" w:type="dxa"/>
          </w:tcPr>
          <w:p w:rsidR="00183A36" w:rsidRPr="00536462" w:rsidRDefault="00536462" w:rsidP="00536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Dymova</w:t>
            </w:r>
            <w:proofErr w:type="spellEnd"/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Quality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indicators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stages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laboratory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Spravochnik</w:t>
            </w:r>
            <w:proofErr w:type="spellEnd"/>
            <w:r w:rsidRPr="00E604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zaveduyuschego</w:t>
            </w:r>
            <w:proofErr w:type="spellEnd"/>
            <w:r w:rsidRPr="00E604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CLD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Handbook</w:t>
            </w:r>
            <w:r w:rsidRPr="00E604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of</w:t>
            </w:r>
            <w:r w:rsidRPr="00E604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</w:t>
            </w:r>
            <w:r w:rsidRPr="00E604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head of CLD, 2018, no. 9, pp. 16-24.</w:t>
            </w:r>
          </w:p>
        </w:tc>
        <w:tc>
          <w:tcPr>
            <w:tcW w:w="3827" w:type="dxa"/>
          </w:tcPr>
          <w:p w:rsidR="00595D17" w:rsidRPr="00595D17" w:rsidRDefault="00BE02E2" w:rsidP="006C6109">
            <w:pPr>
              <w:autoSpaceDE w:val="0"/>
              <w:autoSpaceDN w:val="0"/>
              <w:adjustRightInd w:val="0"/>
              <w:spacing w:after="4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595D17" w:rsidRPr="00595D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https://elibrary.ru/item.asp?id=36723101</w:t>
              </w:r>
            </w:hyperlink>
          </w:p>
          <w:p w:rsidR="00183A36" w:rsidRPr="00536462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536462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:rsidR="00536462" w:rsidRPr="0094718F" w:rsidRDefault="00536462" w:rsidP="00536462">
            <w:pPr>
              <w:autoSpaceDE w:val="0"/>
              <w:autoSpaceDN w:val="0"/>
              <w:adjustRightInd w:val="0"/>
              <w:spacing w:after="40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Берестовская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В.С., Ларичева Е.С. Индекс гемолиза: от обсуждения к решению проблем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преаналитического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// Современная лаборатория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2013.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2625">
              <w:rPr>
                <w:rFonts w:ascii="Times New Roman" w:hAnsi="Times New Roman" w:cs="Times New Roman"/>
                <w:sz w:val="28"/>
                <w:szCs w:val="28"/>
              </w:rPr>
              <w:t xml:space="preserve">, № 16.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С. 38-40. </w:t>
            </w:r>
          </w:p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3A36" w:rsidRPr="00536462" w:rsidRDefault="00536462" w:rsidP="00C72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Klimenkova</w:t>
            </w:r>
            <w:proofErr w:type="spellEnd"/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Berestovskaya</w:t>
            </w:r>
            <w:proofErr w:type="spellEnd"/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Laricheva</w:t>
            </w:r>
            <w:proofErr w:type="spellEnd"/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hemolysis</w:t>
            </w:r>
            <w:proofErr w:type="spellEnd"/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decision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kdown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pre-analytical quality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Sovremennaya</w:t>
            </w:r>
            <w:proofErr w:type="spellEnd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laboratoriya</w:t>
            </w:r>
            <w:proofErr w:type="spellEnd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Modern laboratory, 2013, </w:t>
            </w:r>
            <w:r w:rsidR="00C726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Vol. 3, </w:t>
            </w:r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no. </w:t>
            </w:r>
            <w:r w:rsidR="00C7262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16</w:t>
            </w:r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pp. 38-40.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06022F" w:rsidRPr="0006022F" w:rsidRDefault="00BE02E2" w:rsidP="006C6109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elibrary</w:t>
              </w:r>
              <w:proofErr w:type="spellEnd"/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download</w:t>
              </w:r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elibrary</w:t>
              </w:r>
              <w:proofErr w:type="spellEnd"/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_20726036_38002450.</w:t>
              </w:r>
              <w:proofErr w:type="spellStart"/>
              <w:r w:rsidR="0006022F" w:rsidRPr="0006022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pdf</w:t>
              </w:r>
              <w:proofErr w:type="spellEnd"/>
            </w:hyperlink>
          </w:p>
          <w:p w:rsidR="00183A36" w:rsidRPr="00595D17" w:rsidRDefault="00183A36" w:rsidP="0006022F">
            <w:pPr>
              <w:autoSpaceDE w:val="0"/>
              <w:autoSpaceDN w:val="0"/>
              <w:adjustRightInd w:val="0"/>
              <w:spacing w:after="4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627" w:rsidRPr="00536462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</w:tcPr>
          <w:p w:rsidR="00183A36" w:rsidRPr="00A26710" w:rsidRDefault="00536462" w:rsidP="00A26710">
            <w:pPr>
              <w:autoSpaceDE w:val="0"/>
              <w:autoSpaceDN w:val="0"/>
              <w:adjustRightInd w:val="0"/>
              <w:spacing w:after="40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Эмануэль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А.В. Индикаторы качества: условия для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бенчмаркинга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лабораторных услуг // Вестник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proofErr w:type="spellEnd"/>
            <w:r w:rsidR="003B2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0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6022F">
              <w:rPr>
                <w:rFonts w:ascii="Times New Roman" w:hAnsi="Times New Roman" w:cs="Times New Roman"/>
                <w:sz w:val="28"/>
                <w:szCs w:val="28"/>
              </w:rPr>
              <w:t xml:space="preserve">2014.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6022F">
              <w:rPr>
                <w:rFonts w:ascii="Times New Roman" w:hAnsi="Times New Roman" w:cs="Times New Roman"/>
                <w:sz w:val="28"/>
                <w:szCs w:val="28"/>
              </w:rPr>
              <w:t xml:space="preserve">№ 1. </w:t>
            </w:r>
            <w:r w:rsidR="003B2A7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С. 14-229. </w:t>
            </w:r>
          </w:p>
        </w:tc>
        <w:tc>
          <w:tcPr>
            <w:tcW w:w="4961" w:type="dxa"/>
          </w:tcPr>
          <w:p w:rsidR="00183A36" w:rsidRPr="00536462" w:rsidRDefault="00536462" w:rsidP="00536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Klimenkova</w:t>
            </w:r>
            <w:proofErr w:type="spellEnd"/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Emanuel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Quality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indicators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cjnditions</w:t>
            </w:r>
            <w:proofErr w:type="spellEnd"/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hmarking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laboratory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services</w:t>
            </w:r>
            <w:r w:rsidRP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Vestnik</w:t>
            </w:r>
            <w:proofErr w:type="spellEnd"/>
            <w:r w:rsidRPr="003B2A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roszdravnadzora</w:t>
            </w:r>
            <w:proofErr w:type="spellEnd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Bulletin of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Roszdravnadzor</w:t>
            </w:r>
            <w:proofErr w:type="spellEnd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2014, no. 1, pp. 14-229.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183A36" w:rsidRPr="006530B7" w:rsidRDefault="00BE02E2" w:rsidP="006C610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elibrary</w:t>
              </w:r>
              <w:proofErr w:type="spellEnd"/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download</w:t>
              </w:r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elibrary</w:t>
              </w:r>
              <w:proofErr w:type="spellEnd"/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_21243683_88811471.</w:t>
              </w:r>
              <w:proofErr w:type="spellStart"/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pdf</w:t>
              </w:r>
              <w:proofErr w:type="spellEnd"/>
            </w:hyperlink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</w:tcPr>
          <w:p w:rsidR="00183A36" w:rsidRPr="00536462" w:rsidRDefault="00536462" w:rsidP="00536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Берестовская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В.С., Иванов Г.А.,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Эмануэль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А.В. Опыт применения индекса гемолиза как индикатора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преаналитического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для иммунохимических исследований // Вестник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. – 2014. – № 3. – С. 33-38. </w:t>
            </w:r>
          </w:p>
        </w:tc>
        <w:tc>
          <w:tcPr>
            <w:tcW w:w="4961" w:type="dxa"/>
          </w:tcPr>
          <w:p w:rsidR="00183A36" w:rsidRPr="00536462" w:rsidRDefault="00536462" w:rsidP="00536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Klimenkova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O.A.,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Berestovskaya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V.S.,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G.A., Emanuel A.V. Experience with the use of the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hemolysis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index as indicator of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preanalytical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lity for immunochemical studies</w:t>
            </w:r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Vestnik</w:t>
            </w:r>
            <w:proofErr w:type="spellEnd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roszdravnadzora</w:t>
            </w:r>
            <w:proofErr w:type="spellEnd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Bulletin of </w:t>
            </w:r>
            <w:proofErr w:type="spellStart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Roszdravnadzor</w:t>
            </w:r>
            <w:proofErr w:type="spellEnd"/>
            <w:r w:rsidRPr="005364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2014, no. 3, pp. 33-38.</w:t>
            </w:r>
          </w:p>
        </w:tc>
        <w:tc>
          <w:tcPr>
            <w:tcW w:w="3827" w:type="dxa"/>
          </w:tcPr>
          <w:p w:rsidR="00595D17" w:rsidRPr="006530B7" w:rsidRDefault="00BE02E2" w:rsidP="006C6109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hyperlink r:id="rId10" w:history="1"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https://elibrary.ru/download/elibrary_21681750_36740395.pdf</w:t>
              </w:r>
            </w:hyperlink>
          </w:p>
          <w:p w:rsidR="00183A36" w:rsidRPr="00536462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</w:tcPr>
          <w:p w:rsidR="00183A36" w:rsidRPr="00183A36" w:rsidRDefault="00536462" w:rsidP="00792627">
            <w:pPr>
              <w:shd w:val="clear" w:color="auto" w:fill="FFFFFF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>Клименкова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О.А. Управлени</w:t>
            </w:r>
            <w:r w:rsidR="007926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на </w:t>
            </w: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преаналитическом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</w:rPr>
              <w:t xml:space="preserve"> этапе </w:t>
            </w:r>
          </w:p>
        </w:tc>
        <w:tc>
          <w:tcPr>
            <w:tcW w:w="4961" w:type="dxa"/>
          </w:tcPr>
          <w:p w:rsidR="00183A36" w:rsidRPr="00792627" w:rsidRDefault="00792627" w:rsidP="007926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Klimenkova</w:t>
            </w:r>
            <w:proofErr w:type="spellEnd"/>
            <w:r w:rsidRPr="00536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O.A.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management of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quality in </w:t>
            </w:r>
            <w:proofErr w:type="spellStart"/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preanalytical</w:t>
            </w:r>
            <w:proofErr w:type="spellEnd"/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phase</w:t>
            </w:r>
          </w:p>
        </w:tc>
        <w:tc>
          <w:tcPr>
            <w:tcW w:w="3827" w:type="dxa"/>
          </w:tcPr>
          <w:p w:rsidR="00183A36" w:rsidRPr="00595D17" w:rsidRDefault="00BE02E2" w:rsidP="00792627">
            <w:pPr>
              <w:shd w:val="clear" w:color="auto" w:fill="FFFFFF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536462" w:rsidRPr="00595D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http://iso15189.ru/data/docume</w:t>
              </w:r>
              <w:r w:rsidR="00536462" w:rsidRPr="00595D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nts/UPRAVLENIE-KAChESTVOM-NA-PREANALITI ChESKOM-ETAPE.pdf</w:t>
              </w:r>
            </w:hyperlink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529" w:type="dxa"/>
          </w:tcPr>
          <w:p w:rsidR="00183A36" w:rsidRPr="00183A36" w:rsidRDefault="002F3BF7" w:rsidP="0079262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Кудряшов С.К., Канищев Ю.Н.,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</w:rPr>
              <w:t>Эсауленко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</w:rPr>
              <w:t xml:space="preserve"> Н.Б., Карпов В.О., Овчаренко В.П.,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</w:rPr>
              <w:t>Изгородин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</w:rPr>
              <w:t xml:space="preserve"> А.С., Жукова Э.Э., Суслова Л.А.,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проведению </w:t>
            </w:r>
            <w:proofErr w:type="spellStart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>преаналитического</w:t>
            </w:r>
            <w:proofErr w:type="spellEnd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 xml:space="preserve"> этапа (порядок взятия, хранения и транспортировки) с биоматериалом для лабораторных исследований в центре клинической лабораторной диагностики ГВКГ им. Н.Н. Бурденко:</w:t>
            </w:r>
            <w:proofErr w:type="gramEnd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руководство / Под</w:t>
            </w:r>
            <w:proofErr w:type="gramStart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>бщ. ред. С.П. Казакова. – М: «</w:t>
            </w:r>
            <w:proofErr w:type="spellStart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>Эко-Пресс</w:t>
            </w:r>
            <w:proofErr w:type="spellEnd"/>
            <w:r w:rsidR="00792627" w:rsidRPr="00792627">
              <w:rPr>
                <w:rFonts w:ascii="Times New Roman" w:hAnsi="Times New Roman" w:cs="Times New Roman"/>
                <w:sz w:val="28"/>
                <w:szCs w:val="28"/>
              </w:rPr>
              <w:t xml:space="preserve">», 2016. – 216 с. </w:t>
            </w:r>
          </w:p>
        </w:tc>
        <w:tc>
          <w:tcPr>
            <w:tcW w:w="4961" w:type="dxa"/>
          </w:tcPr>
          <w:p w:rsidR="00792627" w:rsidRPr="00792627" w:rsidRDefault="00792627" w:rsidP="0079262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Kudryashov</w:t>
            </w:r>
            <w:proofErr w:type="spellEnd"/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Kani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schev</w:t>
            </w:r>
            <w:proofErr w:type="spellEnd"/>
            <w:r w:rsidR="002F3BF7"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="002F3BF7"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End"/>
            <w:r w:rsidR="002F3BF7"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Putkov</w:t>
            </w:r>
            <w:proofErr w:type="spellEnd"/>
            <w:r w:rsidR="002F3BF7"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2F3BF7"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F3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2F3BF7"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Esaulenko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N.B.,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Karpov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V.O.,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Ovcharenko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V.P.,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Izgorodin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A.S.,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Jukova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E.E.,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Suslova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Parshakova</w:t>
            </w:r>
            <w:proofErr w:type="spellEnd"/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</w:t>
            </w:r>
            <w:r w:rsidR="002F3BF7"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Instructions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preanaiytic</w:t>
            </w:r>
            <w:proofErr w:type="spellEnd"/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stage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procedure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taking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storing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transporting) with biomaterial for</w:t>
            </w:r>
            <w:r w:rsidRPr="007926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laboratory research in the center of clinical laboratory diagnostics of the MMCH named after academician </w:t>
            </w:r>
            <w:proofErr w:type="spellStart"/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N.N.Burdenko</w:t>
            </w:r>
            <w:proofErr w:type="spellEnd"/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methodological guidance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Moscow: Eco-Press, 2016</w:t>
            </w:r>
            <w:r w:rsidR="00A2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92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216 p.</w:t>
            </w:r>
          </w:p>
          <w:p w:rsidR="00183A36" w:rsidRPr="00792627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595D17" w:rsidRPr="00595D17" w:rsidRDefault="00BE02E2" w:rsidP="006C6109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595D17" w:rsidRPr="00595D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https://elibrary.ru/download/elibrary_36285301_31554849.pdf</w:t>
              </w:r>
            </w:hyperlink>
          </w:p>
          <w:p w:rsidR="00183A36" w:rsidRPr="00792627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</w:tcPr>
          <w:p w:rsidR="00183A36" w:rsidRPr="00A2223F" w:rsidRDefault="008324D8" w:rsidP="00832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4D8">
              <w:rPr>
                <w:rFonts w:ascii="Times New Roman" w:hAnsi="Times New Roman" w:cs="Times New Roman"/>
                <w:sz w:val="28"/>
                <w:szCs w:val="28"/>
              </w:rPr>
              <w:t xml:space="preserve">Меньшиков В.В. Клиническая безопасность пациента и достоверность лабораторной информации (лекция) // Клиническая лабораторная диагностика. – 2013. – № 6. – С. 29-36. </w:t>
            </w:r>
          </w:p>
        </w:tc>
        <w:tc>
          <w:tcPr>
            <w:tcW w:w="4961" w:type="dxa"/>
          </w:tcPr>
          <w:p w:rsidR="00183A36" w:rsidRPr="008324D8" w:rsidRDefault="008324D8" w:rsidP="008324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Menshikov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 Clinical patient safety and reliability of 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aboratory information (lecture)</w:t>
            </w:r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Clinicheskaya</w:t>
            </w:r>
            <w:proofErr w:type="spellEnd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laboratornaya</w:t>
            </w:r>
            <w:proofErr w:type="spellEnd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diagnostika</w:t>
            </w:r>
            <w:proofErr w:type="spellEnd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Clinical laboratory diagnostics, 2013, no. 6, pp. 29-36.</w:t>
            </w:r>
          </w:p>
        </w:tc>
        <w:tc>
          <w:tcPr>
            <w:tcW w:w="3827" w:type="dxa"/>
          </w:tcPr>
          <w:p w:rsidR="00595D17" w:rsidRPr="006530B7" w:rsidRDefault="00BE02E2" w:rsidP="006C6109">
            <w:pPr>
              <w:autoSpaceDE w:val="0"/>
              <w:autoSpaceDN w:val="0"/>
              <w:adjustRightInd w:val="0"/>
              <w:spacing w:after="4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https://elibrary.ru/download/elibrary_20237178_19722573.pdf</w:t>
              </w:r>
            </w:hyperlink>
          </w:p>
          <w:p w:rsidR="00183A36" w:rsidRPr="008324D8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9" w:type="dxa"/>
          </w:tcPr>
          <w:p w:rsidR="00183A36" w:rsidRPr="00183A36" w:rsidRDefault="008324D8" w:rsidP="008324D8">
            <w:pPr>
              <w:autoSpaceDE w:val="0"/>
              <w:autoSpaceDN w:val="0"/>
              <w:adjustRightInd w:val="0"/>
              <w:spacing w:after="4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4D8">
              <w:rPr>
                <w:rFonts w:ascii="Times New Roman" w:hAnsi="Times New Roman" w:cs="Times New Roman"/>
                <w:sz w:val="28"/>
                <w:szCs w:val="28"/>
              </w:rPr>
              <w:t xml:space="preserve">Меньшиков В.В., </w:t>
            </w: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</w:rPr>
              <w:t>Эмануэль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</w:rPr>
              <w:t xml:space="preserve"> А.В., Первушин Ю.В., </w:t>
            </w: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</w:rPr>
              <w:t>Цвиренко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</w:rPr>
              <w:t xml:space="preserve"> С.В. Обеспечение клинической безопасности получения и применения лабораторной информации: Клинические рекомендации // Ассоциация специалистов и организаций лабораторной службы «Федерация лабораторной медицины». – М., 2013. </w:t>
            </w:r>
          </w:p>
        </w:tc>
        <w:tc>
          <w:tcPr>
            <w:tcW w:w="4961" w:type="dxa"/>
          </w:tcPr>
          <w:p w:rsidR="00183A36" w:rsidRPr="008324D8" w:rsidRDefault="008324D8" w:rsidP="00A2223F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Menshikov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Emanuel A.V., </w:t>
            </w: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Pervushin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Yu.V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Cvirenko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S.V. Ensuring clinical safety of obtaining and using laboratory informa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tion: clinical recommendations.</w:t>
            </w:r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4718F" w:rsidRPr="009471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Association of specialists and organizations of laboratory service «Federation of laboratory medicine».</w:t>
            </w:r>
            <w:r w:rsidR="0094718F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Moscow, 2013. </w:t>
            </w:r>
          </w:p>
        </w:tc>
        <w:tc>
          <w:tcPr>
            <w:tcW w:w="3827" w:type="dxa"/>
          </w:tcPr>
          <w:p w:rsidR="006530B7" w:rsidRPr="006530B7" w:rsidRDefault="00BE02E2" w:rsidP="006530B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https://fedlab.ru/upload/medialibrary/3f4/kochetov-ag.-klin-rek_-kld.-obespechenie-klinicheskoy-bezopasnosti-polucheniya-i-primeneniya-laboratornoy-informatsii_-may-2013.pdf</w:t>
              </w:r>
            </w:hyperlink>
          </w:p>
          <w:p w:rsidR="00183A36" w:rsidRPr="008324D8" w:rsidRDefault="00183A36" w:rsidP="006530B7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7374AD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529" w:type="dxa"/>
          </w:tcPr>
          <w:p w:rsidR="008324D8" w:rsidRPr="0094718F" w:rsidRDefault="008324D8" w:rsidP="008324D8">
            <w:pPr>
              <w:autoSpaceDE w:val="0"/>
              <w:autoSpaceDN w:val="0"/>
              <w:adjustRightInd w:val="0"/>
              <w:spacing w:after="40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24D8">
              <w:rPr>
                <w:rFonts w:ascii="Times New Roman" w:hAnsi="Times New Roman" w:cs="Times New Roman"/>
                <w:sz w:val="28"/>
                <w:szCs w:val="28"/>
              </w:rPr>
              <w:t xml:space="preserve">Мошкин А.В. Оценка степени гемолиза на биохимическом анализаторе VITROS 5.1FS – возможный индикатор качества взятия и транспортировки проб // Лаборатория. – 2011. – № 3. – С. 18-19. </w:t>
            </w:r>
          </w:p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3A36" w:rsidRPr="007374AD" w:rsidRDefault="007374AD" w:rsidP="007374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Moshkin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 Assessment of the degree of </w:t>
            </w:r>
            <w:proofErr w:type="spellStart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hemolysis</w:t>
            </w:r>
            <w:proofErr w:type="spellEnd"/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biochemical analyzer VITROS 5.1FS – a possible indicator of the quality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sampling and transportation</w:t>
            </w:r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Laboratoriya</w:t>
            </w:r>
            <w:proofErr w:type="spellEnd"/>
            <w:r w:rsidRPr="008324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Laboratory, 2011, no. 3, pp. 18-19.</w:t>
            </w:r>
            <w:r w:rsidRPr="00832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183A36" w:rsidRPr="007374AD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627" w:rsidRPr="003301EA" w:rsidTr="006C6109">
        <w:tc>
          <w:tcPr>
            <w:tcW w:w="675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3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9" w:type="dxa"/>
          </w:tcPr>
          <w:p w:rsidR="00183A36" w:rsidRPr="00183A36" w:rsidRDefault="00BE02E2" w:rsidP="003B2A7B">
            <w:pPr>
              <w:autoSpaceDE w:val="0"/>
              <w:autoSpaceDN w:val="0"/>
              <w:adjustRightInd w:val="0"/>
              <w:spacing w:after="4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Список публикаций этого автора" w:history="1">
              <w:proofErr w:type="spellStart"/>
              <w:r w:rsidR="003B2A7B" w:rsidRPr="003B2A7B">
                <w:rPr>
                  <w:rFonts w:ascii="Times New Roman" w:hAnsi="Times New Roman" w:cs="Times New Roman"/>
                  <w:sz w:val="28"/>
                  <w:szCs w:val="28"/>
                </w:rPr>
                <w:t>Хоровская</w:t>
              </w:r>
              <w:proofErr w:type="spellEnd"/>
              <w:r w:rsidR="003B2A7B" w:rsidRPr="003B2A7B">
                <w:rPr>
                  <w:rFonts w:ascii="Times New Roman" w:hAnsi="Times New Roman" w:cs="Times New Roman"/>
                  <w:sz w:val="28"/>
                  <w:szCs w:val="28"/>
                </w:rPr>
                <w:t xml:space="preserve"> Л.А.</w:t>
              </w:r>
            </w:hyperlink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, Шмидт И.О., Ковалевская С.Н. Сравнение результатов биохимических исследований крови пациентов при использовании вакуумных пробирок </w:t>
            </w:r>
            <w:proofErr w:type="spellStart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>Lind-vac</w:t>
            </w:r>
            <w:proofErr w:type="spellEnd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 (Эстония) и </w:t>
            </w:r>
            <w:proofErr w:type="spellStart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>Greiner</w:t>
            </w:r>
            <w:proofErr w:type="spellEnd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 (Австрия) // </w:t>
            </w:r>
            <w:hyperlink r:id="rId16" w:tooltip="Оглавления выпусков этого журнала" w:history="1">
              <w:r w:rsidR="003B2A7B" w:rsidRPr="003B2A7B">
                <w:rPr>
                  <w:rFonts w:ascii="Times New Roman" w:hAnsi="Times New Roman" w:cs="Times New Roman"/>
                  <w:sz w:val="28"/>
                  <w:szCs w:val="28"/>
                </w:rPr>
                <w:t>Справочник заведующего КДЛ</w:t>
              </w:r>
            </w:hyperlink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. – 2015. – № 2. – С. 9-19. </w:t>
            </w:r>
          </w:p>
        </w:tc>
        <w:tc>
          <w:tcPr>
            <w:tcW w:w="4961" w:type="dxa"/>
          </w:tcPr>
          <w:p w:rsidR="00183A36" w:rsidRPr="003B2A7B" w:rsidRDefault="003B2A7B" w:rsidP="003B2A7B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Horovskaya</w:t>
            </w:r>
            <w:proofErr w:type="spellEnd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Shmidt</w:t>
            </w:r>
            <w:proofErr w:type="spellEnd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I.O., </w:t>
            </w:r>
            <w:proofErr w:type="spellStart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Kovalevskaya</w:t>
            </w:r>
            <w:proofErr w:type="spellEnd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S.N. Comparison of results of biochemical blood tests of patients using vacuum tubes Lind-</w:t>
            </w:r>
            <w:proofErr w:type="spellStart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</w:t>
            </w:r>
            <w:proofErr w:type="spellEnd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(Estonia) and Greiner (Austria)]. </w:t>
            </w:r>
            <w:proofErr w:type="spellStart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Spravochnik</w:t>
            </w:r>
            <w:proofErr w:type="spellEnd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zaveduyuschego</w:t>
            </w:r>
            <w:proofErr w:type="spellEnd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CLD</w:t>
            </w:r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Handbook of the head of CLD, 2015, no. 2, pp. 9-19. </w:t>
            </w:r>
          </w:p>
        </w:tc>
        <w:tc>
          <w:tcPr>
            <w:tcW w:w="3827" w:type="dxa"/>
          </w:tcPr>
          <w:p w:rsidR="00183A36" w:rsidRPr="003B2A7B" w:rsidRDefault="00BE0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3B2A7B" w:rsidRPr="003B2A7B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https://elibrary.ru/item.asp?id=23609803</w:t>
              </w:r>
            </w:hyperlink>
          </w:p>
        </w:tc>
      </w:tr>
      <w:tr w:rsidR="003B2A7B" w:rsidRPr="003301EA" w:rsidTr="006C6109">
        <w:tc>
          <w:tcPr>
            <w:tcW w:w="675" w:type="dxa"/>
          </w:tcPr>
          <w:p w:rsidR="003B2A7B" w:rsidRPr="003B2A7B" w:rsidRDefault="005D77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2A7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29" w:type="dxa"/>
          </w:tcPr>
          <w:p w:rsidR="003B2A7B" w:rsidRPr="005D77D7" w:rsidRDefault="00BE02E2" w:rsidP="003B2A7B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ooltip="Список публикаций этого автора" w:history="1">
              <w:proofErr w:type="spellStart"/>
              <w:r w:rsidR="003B2A7B" w:rsidRPr="003B2A7B">
                <w:rPr>
                  <w:rFonts w:ascii="Times New Roman" w:hAnsi="Times New Roman" w:cs="Times New Roman"/>
                  <w:sz w:val="28"/>
                  <w:szCs w:val="28"/>
                </w:rPr>
                <w:t>Хоровская</w:t>
              </w:r>
              <w:proofErr w:type="spellEnd"/>
              <w:r w:rsidR="003B2A7B" w:rsidRPr="003B2A7B">
                <w:rPr>
                  <w:rFonts w:ascii="Times New Roman" w:hAnsi="Times New Roman" w:cs="Times New Roman"/>
                  <w:sz w:val="28"/>
                  <w:szCs w:val="28"/>
                </w:rPr>
                <w:t xml:space="preserve"> Л.А.</w:t>
              </w:r>
            </w:hyperlink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, Данилова Д.Г., Шмидт И.О. Опыт </w:t>
            </w:r>
            <w:proofErr w:type="spellStart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>валидации</w:t>
            </w:r>
            <w:proofErr w:type="spellEnd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 вакуумных пробирок </w:t>
            </w:r>
            <w:proofErr w:type="spellStart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>Univac</w:t>
            </w:r>
            <w:proofErr w:type="spellEnd"/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медицинской лаборатории // </w:t>
            </w:r>
            <w:hyperlink r:id="rId19" w:tooltip="Оглавления выпусков этого журнала" w:history="1">
              <w:r w:rsidR="003B2A7B" w:rsidRPr="003B2A7B">
                <w:rPr>
                  <w:rFonts w:ascii="Times New Roman" w:hAnsi="Times New Roman" w:cs="Times New Roman"/>
                  <w:sz w:val="28"/>
                  <w:szCs w:val="28"/>
                </w:rPr>
                <w:t>Справочник заведующего КДЛ</w:t>
              </w:r>
            </w:hyperlink>
            <w:r w:rsidR="003B2A7B" w:rsidRPr="003B2A7B">
              <w:rPr>
                <w:rFonts w:ascii="Times New Roman" w:hAnsi="Times New Roman" w:cs="Times New Roman"/>
                <w:sz w:val="28"/>
                <w:szCs w:val="28"/>
              </w:rPr>
              <w:t xml:space="preserve">. – 2017. – № 9. – С. 3-16. </w:t>
            </w:r>
          </w:p>
          <w:p w:rsidR="003B2A7B" w:rsidRPr="005D77D7" w:rsidRDefault="003B2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B2A7B" w:rsidRPr="003B2A7B" w:rsidRDefault="003B2A7B" w:rsidP="007374AD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Horovskaya</w:t>
            </w:r>
            <w:proofErr w:type="spellEnd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Danilova D.G., </w:t>
            </w:r>
            <w:proofErr w:type="spellStart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Shmidt</w:t>
            </w:r>
            <w:proofErr w:type="spellEnd"/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I.O. Experience in Validation of UNIVAC vacuum tubes in a medical laboratory]. </w:t>
            </w:r>
            <w:proofErr w:type="spellStart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Spravochnik</w:t>
            </w:r>
            <w:proofErr w:type="spellEnd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zaveduyuschego</w:t>
            </w:r>
            <w:proofErr w:type="spellEnd"/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CLD</w:t>
            </w:r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3B2A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Handbook of the head of CLD, 2017, no. 9, pp. 3-16. </w:t>
            </w:r>
          </w:p>
        </w:tc>
        <w:tc>
          <w:tcPr>
            <w:tcW w:w="3827" w:type="dxa"/>
          </w:tcPr>
          <w:p w:rsidR="003B2A7B" w:rsidRPr="003B2A7B" w:rsidRDefault="003B2A7B" w:rsidP="006530B7">
            <w:pPr>
              <w:jc w:val="both"/>
              <w:rPr>
                <w:lang w:val="en-US"/>
              </w:rPr>
            </w:pPr>
            <w:r w:rsidRPr="003B2A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https://elibrary.ru/item.asp?id=29947592</w:t>
            </w:r>
          </w:p>
        </w:tc>
      </w:tr>
      <w:tr w:rsidR="003B2A7B" w:rsidRPr="003B2A7B" w:rsidTr="006C6109">
        <w:tc>
          <w:tcPr>
            <w:tcW w:w="675" w:type="dxa"/>
          </w:tcPr>
          <w:p w:rsidR="003B2A7B" w:rsidRPr="005D77D7" w:rsidRDefault="005D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9" w:type="dxa"/>
          </w:tcPr>
          <w:p w:rsidR="003B2A7B" w:rsidRPr="003B2A7B" w:rsidRDefault="003B2A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3B2A7B" w:rsidRPr="005D77D7" w:rsidRDefault="00BE02E2" w:rsidP="005D77D7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proofErr w:type="spellStart"/>
              <w:r w:rsidR="005D77D7" w:rsidRPr="007374A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Gawria</w:t>
              </w:r>
              <w:proofErr w:type="spellEnd"/>
              <w:r w:rsidR="005D77D7" w:rsidRPr="007374A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G</w:t>
              </w:r>
            </w:hyperlink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 </w:t>
            </w:r>
            <w:proofErr w:type="spellStart"/>
            <w:r>
              <w:fldChar w:fldCharType="begin"/>
            </w:r>
            <w:r w:rsidR="00433812" w:rsidRPr="00E60429">
              <w:rPr>
                <w:lang w:val="en-US"/>
              </w:rPr>
              <w:instrText>HYPERLINK "https://www.ncbi.nlm.nih.gov/pubmed/?term=Tillmar%20L%5BAuthor%5D&amp;cauthor=true&amp;cauthor_uid=31605419"</w:instrText>
            </w:r>
            <w:r>
              <w:fldChar w:fldCharType="separate"/>
            </w:r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Tillmar</w:t>
            </w:r>
            <w:proofErr w:type="spellEnd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</w:t>
            </w:r>
            <w:r>
              <w:fldChar w:fldCharType="end"/>
            </w:r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 </w:t>
            </w:r>
            <w:proofErr w:type="spellStart"/>
            <w:r>
              <w:fldChar w:fldCharType="begin"/>
            </w:r>
            <w:r w:rsidR="00433812" w:rsidRPr="00E60429">
              <w:rPr>
                <w:lang w:val="en-US"/>
              </w:rPr>
              <w:instrText>HYPERLINK "https://www.ncbi.nlm.nih.gov/pubmed/?term=Landberg%20E%5BAuthor%5D&amp;cauthor=true&amp;cauthor_uid=31605419"</w:instrText>
            </w:r>
            <w:r>
              <w:fldChar w:fldCharType="separate"/>
            </w:r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Landberg</w:t>
            </w:r>
            <w:proofErr w:type="spellEnd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</w:t>
            </w:r>
            <w:r>
              <w:fldChar w:fldCharType="end"/>
            </w:r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A comparison of stability of chemical </w:t>
            </w:r>
            <w:proofErr w:type="spellStart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analytes</w:t>
            </w:r>
            <w:proofErr w:type="spellEnd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plasma from the BD </w:t>
            </w:r>
            <w:proofErr w:type="spellStart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Vacutainer</w:t>
            </w:r>
            <w:proofErr w:type="spellEnd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® </w:t>
            </w:r>
            <w:proofErr w:type="spellStart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Barricor</w:t>
            </w:r>
            <w:proofErr w:type="spellEnd"/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™ tube with mechanical separator versus tubes containing gel separator. </w:t>
            </w:r>
            <w:hyperlink r:id="rId21" w:tooltip="Journal of clinical laboratory analysis." w:history="1">
              <w:r w:rsidR="005D77D7" w:rsidRPr="007374AD"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 xml:space="preserve">J. </w:t>
              </w:r>
              <w:proofErr w:type="spellStart"/>
              <w:r w:rsidR="005D77D7" w:rsidRPr="007374AD"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Clin</w:t>
              </w:r>
              <w:proofErr w:type="spellEnd"/>
              <w:r w:rsidR="005D77D7" w:rsidRPr="007374AD"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. Lab. Anal.</w:t>
              </w:r>
            </w:hyperlink>
            <w:r w:rsidR="005D77D7"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 2019 Oct 11: e23060</w:t>
            </w:r>
            <w:r w:rsidR="005D77D7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827" w:type="dxa"/>
          </w:tcPr>
          <w:p w:rsidR="005D77D7" w:rsidRPr="005D77D7" w:rsidRDefault="00BE02E2" w:rsidP="005D77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ncbi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nlm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nih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pubmed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/31605419</w:t>
              </w:r>
            </w:hyperlink>
            <w:r w:rsidR="005D77D7" w:rsidRPr="005D7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77D7" w:rsidRPr="006530B7" w:rsidRDefault="00A2223F" w:rsidP="005D77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="005D7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="005D77D7" w:rsidRPr="00653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10.1002/jcla.23060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3B2A7B" w:rsidRPr="003B2A7B" w:rsidRDefault="003B2A7B" w:rsidP="006530B7">
            <w:pPr>
              <w:jc w:val="both"/>
              <w:rPr>
                <w:lang w:val="en-US"/>
              </w:rPr>
            </w:pPr>
          </w:p>
        </w:tc>
      </w:tr>
      <w:tr w:rsidR="003B2A7B" w:rsidRPr="003B2A7B" w:rsidTr="006C6109">
        <w:tc>
          <w:tcPr>
            <w:tcW w:w="675" w:type="dxa"/>
          </w:tcPr>
          <w:p w:rsidR="003B2A7B" w:rsidRPr="002C558A" w:rsidRDefault="002C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9" w:type="dxa"/>
          </w:tcPr>
          <w:p w:rsidR="003B2A7B" w:rsidRPr="003B2A7B" w:rsidRDefault="003B2A7B" w:rsidP="00A2223F">
            <w:pPr>
              <w:shd w:val="clear" w:color="auto" w:fill="FFFFFF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3B2A7B" w:rsidRPr="00A2223F" w:rsidRDefault="00BE02E2" w:rsidP="00320081">
            <w:pPr>
              <w:shd w:val="clear" w:color="auto" w:fill="FFFFFF"/>
              <w:ind w:firstLine="33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hyperlink r:id="rId23" w:history="1">
              <w:proofErr w:type="spellStart"/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Kavsak</w:t>
              </w:r>
              <w:proofErr w:type="spellEnd"/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P</w:t>
              </w:r>
              <w:r w:rsid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.</w:t>
              </w:r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A</w:t>
              </w:r>
            </w:hyperlink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0429" w:rsidRP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24" w:history="1">
              <w:proofErr w:type="spellStart"/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Mansour</w:t>
              </w:r>
              <w:proofErr w:type="spellEnd"/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M</w:t>
              </w:r>
            </w:hyperlink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0429" w:rsidRP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25" w:history="1"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Wang L</w:t>
              </w:r>
            </w:hyperlink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0429" w:rsidRP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26" w:history="1"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Campeau S</w:t>
              </w:r>
            </w:hyperlink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0429" w:rsidRP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27" w:history="1"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Clark L</w:t>
              </w:r>
            </w:hyperlink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0429" w:rsidRP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28" w:history="1"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Brooks D</w:t>
              </w:r>
            </w:hyperlink>
            <w:r w:rsidR="00320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60429" w:rsidRP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29" w:history="1">
              <w:proofErr w:type="spellStart"/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Trus</w:t>
              </w:r>
              <w:proofErr w:type="spellEnd"/>
              <w:r w:rsidR="00E60429" w:rsidRPr="003200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M</w:t>
              </w:r>
            </w:hyperlink>
            <w:r w:rsidR="00E60429" w:rsidRPr="003200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E604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Assessing pneumatic tube </w:t>
            </w:r>
            <w:r w:rsidR="005D77D7" w:rsidRPr="005D7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systems with patient-specific population and </w:t>
            </w:r>
            <w:r w:rsidR="005D77D7" w:rsidRPr="005D7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laboratory derived criteria. </w:t>
            </w:r>
            <w:proofErr w:type="spellStart"/>
            <w:r w:rsidR="005D77D7" w:rsidRPr="005D77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Clin</w:t>
            </w:r>
            <w:proofErr w:type="spellEnd"/>
            <w:r w:rsidR="005D77D7" w:rsidRPr="005D77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Chem., 2012, Vol.</w:t>
            </w:r>
            <w:r w:rsidR="00A2223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5D77D7" w:rsidRPr="005D77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58, </w:t>
            </w:r>
            <w:r w:rsidR="00A2223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no. 4, </w:t>
            </w:r>
            <w:r w:rsidR="005D77D7" w:rsidRPr="005D77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pp. 792-795.</w:t>
            </w:r>
          </w:p>
        </w:tc>
        <w:tc>
          <w:tcPr>
            <w:tcW w:w="3827" w:type="dxa"/>
          </w:tcPr>
          <w:p w:rsidR="00A2223F" w:rsidRPr="00A2223F" w:rsidRDefault="00BE02E2" w:rsidP="00A222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A2223F" w:rsidRPr="00A2223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https://www.ncbi.nlm.nih.gov/pubmed/22291142</w:t>
              </w:r>
            </w:hyperlink>
            <w:r w:rsidR="00A2223F" w:rsidRPr="00A2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2223F" w:rsidRPr="00A2223F" w:rsidRDefault="00A2223F" w:rsidP="00A2223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23F">
              <w:rPr>
                <w:rFonts w:ascii="Times New Roman" w:hAnsi="Times New Roman" w:cs="Times New Roman"/>
                <w:lang w:val="en-US"/>
              </w:rPr>
              <w:t>[</w:t>
            </w:r>
            <w:r w:rsidRPr="00A2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</w:t>
            </w:r>
            <w:hyperlink r:id="rId31" w:tgtFrame="_blank" w:history="1">
              <w:r w:rsidRPr="00A2223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10.1373/clinchem.2011.179044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3B2A7B" w:rsidRPr="003B2A7B" w:rsidRDefault="003B2A7B" w:rsidP="003B2A7B">
            <w:pPr>
              <w:jc w:val="both"/>
              <w:rPr>
                <w:lang w:val="en-US"/>
              </w:rPr>
            </w:pPr>
          </w:p>
        </w:tc>
      </w:tr>
      <w:tr w:rsidR="00792627" w:rsidRPr="00183A36" w:rsidTr="006C6109">
        <w:tc>
          <w:tcPr>
            <w:tcW w:w="675" w:type="dxa"/>
          </w:tcPr>
          <w:p w:rsidR="00183A36" w:rsidRPr="00A2223F" w:rsidRDefault="002C55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19.</w:t>
            </w:r>
          </w:p>
        </w:tc>
        <w:tc>
          <w:tcPr>
            <w:tcW w:w="5529" w:type="dxa"/>
          </w:tcPr>
          <w:p w:rsidR="00183A36" w:rsidRPr="00A2223F" w:rsidRDefault="00183A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5D77D7" w:rsidRPr="007374AD" w:rsidRDefault="005D77D7" w:rsidP="005D77D7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Plebani</w:t>
            </w:r>
            <w:proofErr w:type="spellEnd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Chiozza</w:t>
            </w:r>
            <w:proofErr w:type="spellEnd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M.L., </w:t>
            </w:r>
            <w:proofErr w:type="spellStart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Sciacovelli</w:t>
            </w:r>
            <w:proofErr w:type="spellEnd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Towards harmonization of quality indicators in laboratory medicine. </w:t>
            </w:r>
            <w:proofErr w:type="spellStart"/>
            <w:r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Clin</w:t>
            </w:r>
            <w:proofErr w:type="spellEnd"/>
            <w:r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Chem. Lab. Med.,</w:t>
            </w:r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2013, Vol. 51, no. 1, </w:t>
            </w:r>
            <w:proofErr w:type="spellStart"/>
            <w:r w:rsidRPr="007374AD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r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p. 187-195.</w:t>
            </w:r>
          </w:p>
          <w:p w:rsidR="00183A36" w:rsidRPr="00183A36" w:rsidRDefault="00183A36" w:rsidP="005D77D7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D77D7" w:rsidRPr="005D77D7" w:rsidRDefault="00BE02E2" w:rsidP="005D7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://</w:t>
              </w:r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ncbi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nlm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nih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5D77D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pubmed</w:t>
              </w:r>
              <w:proofErr w:type="spellEnd"/>
              <w:r w:rsidR="005D77D7" w:rsidRPr="005D77D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/23023884</w:t>
              </w:r>
            </w:hyperlink>
          </w:p>
          <w:p w:rsidR="00183A36" w:rsidRPr="00A2223F" w:rsidRDefault="00A2223F" w:rsidP="005D77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="005D77D7" w:rsidRPr="00595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="005D77D7" w:rsidRPr="00595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D77D7" w:rsidRPr="00595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3" w:tgtFrame="_blank" w:history="1">
              <w:r w:rsidR="005D77D7" w:rsidRPr="00595D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10.1515/cclm-2012-0582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792627" w:rsidRPr="00595D17" w:rsidTr="006C6109">
        <w:tc>
          <w:tcPr>
            <w:tcW w:w="675" w:type="dxa"/>
          </w:tcPr>
          <w:p w:rsidR="00183A36" w:rsidRPr="00183A36" w:rsidRDefault="002C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29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3A36" w:rsidRPr="00170382" w:rsidRDefault="00170382" w:rsidP="001703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proofErr w:type="spellStart"/>
              <w:proofErr w:type="gramStart"/>
              <w:r w:rsidRPr="00170382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Simundic</w:t>
              </w:r>
              <w:proofErr w:type="spellEnd"/>
              <w:r w:rsidRPr="00170382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A.M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35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Bölenius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K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36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Cadamuro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J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37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Church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S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38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Cornes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M.P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39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van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Dongen-Lases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E.C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40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Eker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P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41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Erdeljanovic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T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42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Grankvist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K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., </w:t>
            </w:r>
            <w:hyperlink r:id="rId43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Guimaraes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J</w:t>
              </w:r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44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Hoke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R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45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Ibarz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M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46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Ivanov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H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47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Kovalevskaya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S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.,</w:t>
            </w:r>
            <w:proofErr w:type="gramEnd"/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48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Kristensen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G.B.B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49" w:history="1"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Lima-Oliveira G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50" w:history="1"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Lippi G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51" w:history="1"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von Meyer A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52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Nybo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M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53" w:history="1"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De la Salle B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54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Seipelt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C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55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Sumarac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Z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hyperlink r:id="rId56" w:history="1">
              <w:proofErr w:type="spellStart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Vermeersch</w:t>
              </w:r>
              <w:proofErr w:type="spellEnd"/>
              <w:r w:rsidRPr="0017038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P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4534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A22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Joint </w:t>
            </w:r>
            <w:r w:rsidR="007374AD"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EFLM-COLABIOCLI  Recommendation for venous blood sampling. </w:t>
            </w:r>
            <w:hyperlink r:id="rId57" w:tooltip="Clinical chemistry and laboratory medicine." w:history="1">
              <w:proofErr w:type="spellStart"/>
              <w:r w:rsidR="007374AD" w:rsidRPr="007374AD"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Clin</w:t>
              </w:r>
              <w:proofErr w:type="spellEnd"/>
              <w:r w:rsidR="007374AD" w:rsidRPr="007374AD">
                <w:rPr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. Chem. Lab. Med.</w:t>
              </w:r>
            </w:hyperlink>
            <w:r w:rsidR="007374AD"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 2018, Vol. 56, no. 12, pp. 2015-2038. </w:t>
            </w:r>
          </w:p>
        </w:tc>
        <w:tc>
          <w:tcPr>
            <w:tcW w:w="3827" w:type="dxa"/>
          </w:tcPr>
          <w:p w:rsidR="006530B7" w:rsidRPr="006530B7" w:rsidRDefault="00BE0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8" w:history="1">
              <w:r w:rsidR="006530B7" w:rsidRPr="006530B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https://www.ncbi.nlm.nih.gov/pubmed/30004902</w:t>
              </w:r>
            </w:hyperlink>
          </w:p>
          <w:p w:rsidR="00183A36" w:rsidRPr="00A2223F" w:rsidRDefault="00A222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="00595D17" w:rsidRPr="00595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="00595D17" w:rsidRPr="00595D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59" w:tgtFrame="_blank" w:history="1">
              <w:r w:rsidR="00595D17" w:rsidRPr="00595D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10.1515/cclm-2018-0602</w:t>
              </w:r>
            </w:hyperlink>
            <w:r w:rsidRPr="00170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792627" w:rsidRPr="00183A36" w:rsidTr="006C6109">
        <w:tc>
          <w:tcPr>
            <w:tcW w:w="675" w:type="dxa"/>
          </w:tcPr>
          <w:p w:rsidR="00183A36" w:rsidRPr="00A26710" w:rsidRDefault="00A267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5529" w:type="dxa"/>
          </w:tcPr>
          <w:p w:rsidR="00183A36" w:rsidRPr="00183A36" w:rsidRDefault="00183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83A36" w:rsidRPr="00A26710" w:rsidRDefault="007374AD" w:rsidP="00A26710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Sztefko</w:t>
            </w:r>
            <w:proofErr w:type="spellEnd"/>
            <w:r w:rsidRPr="0073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 Immunodiagnostics and patient safety. </w:t>
            </w:r>
            <w:r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De</w:t>
            </w:r>
            <w:r w:rsidRPr="007374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Gruyter</w:t>
            </w:r>
            <w:proofErr w:type="spellEnd"/>
            <w:r w:rsidRPr="007374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2011, 162 </w:t>
            </w:r>
            <w:r w:rsidRPr="007374A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7374A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6530B7" w:rsidRDefault="006530B7" w:rsidP="006530B7">
            <w:pPr>
              <w:autoSpaceDE w:val="0"/>
              <w:autoSpaceDN w:val="0"/>
              <w:adjustRightInd w:val="0"/>
              <w:spacing w:after="4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30B7">
              <w:rPr>
                <w:rFonts w:ascii="Times New Roman" w:hAnsi="Times New Roman" w:cs="Times New Roman"/>
                <w:sz w:val="28"/>
                <w:szCs w:val="28"/>
              </w:rPr>
              <w:t xml:space="preserve">ISBN: 978-3-11-024947-7 </w:t>
            </w:r>
          </w:p>
          <w:p w:rsidR="00183A36" w:rsidRPr="00A26710" w:rsidRDefault="006530B7" w:rsidP="00A26710">
            <w:pPr>
              <w:autoSpaceDE w:val="0"/>
              <w:autoSpaceDN w:val="0"/>
              <w:adjustRightInd w:val="0"/>
              <w:spacing w:after="4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530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6530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3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30B7">
              <w:rPr>
                <w:rFonts w:ascii="Times New Roman" w:hAnsi="Times New Roman" w:cs="Times New Roman"/>
                <w:sz w:val="28"/>
                <w:szCs w:val="28"/>
              </w:rPr>
              <w:t>SBN: 978-3-11-024948-4</w:t>
            </w:r>
          </w:p>
        </w:tc>
      </w:tr>
    </w:tbl>
    <w:p w:rsidR="003301EA" w:rsidRDefault="003301EA">
      <w:pPr>
        <w:rPr>
          <w:rFonts w:ascii="Tahoma" w:hAnsi="Tahoma" w:cs="Tahoma"/>
          <w:b/>
          <w:bCs/>
          <w:sz w:val="19"/>
          <w:szCs w:val="19"/>
          <w:shd w:val="clear" w:color="auto" w:fill="F5F5F5"/>
        </w:rPr>
      </w:pPr>
    </w:p>
    <w:p w:rsidR="003301EA" w:rsidRDefault="003301EA">
      <w:pPr>
        <w:rPr>
          <w:rFonts w:ascii="Tahoma" w:hAnsi="Tahoma" w:cs="Tahoma"/>
          <w:b/>
          <w:bCs/>
          <w:sz w:val="19"/>
          <w:szCs w:val="19"/>
          <w:shd w:val="clear" w:color="auto" w:fill="F5F5F5"/>
        </w:rPr>
      </w:pPr>
    </w:p>
    <w:sectPr w:rsidR="003301EA" w:rsidSect="006C6109">
      <w:headerReference w:type="default" r:id="rId6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82" w:rsidRDefault="00170382" w:rsidP="006C6109">
      <w:pPr>
        <w:spacing w:after="0" w:line="240" w:lineRule="auto"/>
      </w:pPr>
      <w:r>
        <w:separator/>
      </w:r>
    </w:p>
  </w:endnote>
  <w:endnote w:type="continuationSeparator" w:id="1">
    <w:p w:rsidR="00170382" w:rsidRDefault="00170382" w:rsidP="006C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82" w:rsidRDefault="00170382" w:rsidP="006C6109">
      <w:pPr>
        <w:spacing w:after="0" w:line="240" w:lineRule="auto"/>
      </w:pPr>
      <w:r>
        <w:separator/>
      </w:r>
    </w:p>
  </w:footnote>
  <w:footnote w:type="continuationSeparator" w:id="1">
    <w:p w:rsidR="00170382" w:rsidRDefault="00170382" w:rsidP="006C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82" w:rsidRPr="006C6109" w:rsidRDefault="00170382">
    <w:pPr>
      <w:pStyle w:val="a5"/>
      <w:rPr>
        <w:sz w:val="28"/>
        <w:szCs w:val="28"/>
      </w:rPr>
    </w:pPr>
    <w:r>
      <w:rPr>
        <w:sz w:val="28"/>
        <w:szCs w:val="28"/>
      </w:rPr>
      <w:t>Литература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A36"/>
    <w:rsid w:val="0006022F"/>
    <w:rsid w:val="00117284"/>
    <w:rsid w:val="00170382"/>
    <w:rsid w:val="00183A36"/>
    <w:rsid w:val="0018567A"/>
    <w:rsid w:val="001D4134"/>
    <w:rsid w:val="001E7084"/>
    <w:rsid w:val="0025775A"/>
    <w:rsid w:val="002830A6"/>
    <w:rsid w:val="002C558A"/>
    <w:rsid w:val="002E2BFB"/>
    <w:rsid w:val="002F3BF7"/>
    <w:rsid w:val="00320081"/>
    <w:rsid w:val="003301EA"/>
    <w:rsid w:val="00344EA4"/>
    <w:rsid w:val="003B2A7B"/>
    <w:rsid w:val="00433812"/>
    <w:rsid w:val="004534BF"/>
    <w:rsid w:val="004D770B"/>
    <w:rsid w:val="00536462"/>
    <w:rsid w:val="00595D17"/>
    <w:rsid w:val="005D77D7"/>
    <w:rsid w:val="006530B7"/>
    <w:rsid w:val="006C6109"/>
    <w:rsid w:val="007374AD"/>
    <w:rsid w:val="00792627"/>
    <w:rsid w:val="008324D8"/>
    <w:rsid w:val="0094718F"/>
    <w:rsid w:val="00A2223F"/>
    <w:rsid w:val="00A26710"/>
    <w:rsid w:val="00A57091"/>
    <w:rsid w:val="00BE02E2"/>
    <w:rsid w:val="00C72625"/>
    <w:rsid w:val="00E60429"/>
    <w:rsid w:val="00F9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646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C6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6109"/>
  </w:style>
  <w:style w:type="paragraph" w:styleId="a7">
    <w:name w:val="footer"/>
    <w:basedOn w:val="a"/>
    <w:link w:val="a8"/>
    <w:uiPriority w:val="99"/>
    <w:semiHidden/>
    <w:unhideWhenUsed/>
    <w:rsid w:val="006C6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6109"/>
  </w:style>
  <w:style w:type="paragraph" w:styleId="a9">
    <w:name w:val="Balloon Text"/>
    <w:basedOn w:val="a"/>
    <w:link w:val="aa"/>
    <w:uiPriority w:val="99"/>
    <w:semiHidden/>
    <w:unhideWhenUsed/>
    <w:rsid w:val="00E6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042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60429"/>
  </w:style>
  <w:style w:type="character" w:styleId="ab">
    <w:name w:val="FollowedHyperlink"/>
    <w:basedOn w:val="a0"/>
    <w:uiPriority w:val="99"/>
    <w:semiHidden/>
    <w:unhideWhenUsed/>
    <w:rsid w:val="003301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download/elibrary_20237178_19722573.pdf" TargetMode="External"/><Relationship Id="rId18" Type="http://schemas.openxmlformats.org/officeDocument/2006/relationships/hyperlink" Target="https://elibrary.ru/author_items.asp?authorid=666313" TargetMode="External"/><Relationship Id="rId26" Type="http://schemas.openxmlformats.org/officeDocument/2006/relationships/hyperlink" Target="https://www.ncbi.nlm.nih.gov/pubmed/?term=Campeau%20S%5BAuthor%5D&amp;cauthor=true&amp;cauthor_uid=22291142" TargetMode="External"/><Relationship Id="rId39" Type="http://schemas.openxmlformats.org/officeDocument/2006/relationships/hyperlink" Target="https://www.ncbi.nlm.nih.gov/pubmed/?term=van%20Dongen-Lases%20EC%5BAuthor%5D&amp;cauthor=true&amp;cauthor_uid=30004902" TargetMode="External"/><Relationship Id="rId21" Type="http://schemas.openxmlformats.org/officeDocument/2006/relationships/hyperlink" Target="https://www.ncbi.nlm.nih.gov/pubmed/31605419" TargetMode="External"/><Relationship Id="rId34" Type="http://schemas.openxmlformats.org/officeDocument/2006/relationships/hyperlink" Target="https://www.ncbi.nlm.nih.gov/pubmed/?term=Simundic%20AM%5BAuthor%5D&amp;cauthor=true&amp;cauthor_uid=30004902" TargetMode="External"/><Relationship Id="rId42" Type="http://schemas.openxmlformats.org/officeDocument/2006/relationships/hyperlink" Target="https://www.ncbi.nlm.nih.gov/pubmed/?term=Grankvist%20K%5BAuthor%5D&amp;cauthor=true&amp;cauthor_uid=30004902" TargetMode="External"/><Relationship Id="rId47" Type="http://schemas.openxmlformats.org/officeDocument/2006/relationships/hyperlink" Target="https://www.ncbi.nlm.nih.gov/pubmed/?term=Kovalevskaya%20S%5BAuthor%5D&amp;cauthor=true&amp;cauthor_uid=30004902" TargetMode="External"/><Relationship Id="rId50" Type="http://schemas.openxmlformats.org/officeDocument/2006/relationships/hyperlink" Target="https://www.ncbi.nlm.nih.gov/pubmed/?term=Lippi%20G%5BAuthor%5D&amp;cauthor=true&amp;cauthor_uid=30004902" TargetMode="External"/><Relationship Id="rId55" Type="http://schemas.openxmlformats.org/officeDocument/2006/relationships/hyperlink" Target="https://www.ncbi.nlm.nih.gov/pubmed/?term=Sumarac%20Z%5BAuthor%5D&amp;cauthor=true&amp;cauthor_uid=30004902" TargetMode="External"/><Relationship Id="rId7" Type="http://schemas.openxmlformats.org/officeDocument/2006/relationships/hyperlink" Target="https://elibrary.ru/item.asp?id=36723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ontents.asp?id=34076620" TargetMode="External"/><Relationship Id="rId20" Type="http://schemas.openxmlformats.org/officeDocument/2006/relationships/hyperlink" Target="https://www.ncbi.nlm.nih.gov/pubmed/?term=Gawria%20G%5BAuthor%5D&amp;cauthor=true&amp;cauthor_uid=31605419" TargetMode="External"/><Relationship Id="rId29" Type="http://schemas.openxmlformats.org/officeDocument/2006/relationships/hyperlink" Target="https://www.ncbi.nlm.nih.gov/pubmed/?term=Trus%20M%5BAuthor%5D&amp;cauthor=true&amp;cauthor_uid=22291142" TargetMode="External"/><Relationship Id="rId41" Type="http://schemas.openxmlformats.org/officeDocument/2006/relationships/hyperlink" Target="https://www.ncbi.nlm.nih.gov/pubmed/?term=Erdeljanovic%20T%5BAuthor%5D&amp;cauthor=true&amp;cauthor_uid=30004902" TargetMode="External"/><Relationship Id="rId54" Type="http://schemas.openxmlformats.org/officeDocument/2006/relationships/hyperlink" Target="https://www.ncbi.nlm.nih.gov/pubmed/?term=Seipelt%20C%5BAuthor%5D&amp;cauthor=true&amp;cauthor_uid=30004902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38495001" TargetMode="External"/><Relationship Id="rId11" Type="http://schemas.openxmlformats.org/officeDocument/2006/relationships/hyperlink" Target="http://iso15189.ru/data/documents/UPRAVLENIE-KAChESTVOM-NA-PREANALITI%20ChESKOM-ETAPE.pdf" TargetMode="External"/><Relationship Id="rId24" Type="http://schemas.openxmlformats.org/officeDocument/2006/relationships/hyperlink" Target="https://www.ncbi.nlm.nih.gov/pubmed/?term=Mansour%20M%5BAuthor%5D&amp;cauthor=true&amp;cauthor_uid=22291142" TargetMode="External"/><Relationship Id="rId32" Type="http://schemas.openxmlformats.org/officeDocument/2006/relationships/hyperlink" Target="https://www.ncbi.nlm.nih.gov/pubmed/23023884" TargetMode="External"/><Relationship Id="rId37" Type="http://schemas.openxmlformats.org/officeDocument/2006/relationships/hyperlink" Target="https://www.ncbi.nlm.nih.gov/pubmed/?term=Church%20S%5BAuthor%5D&amp;cauthor=true&amp;cauthor_uid=30004902" TargetMode="External"/><Relationship Id="rId40" Type="http://schemas.openxmlformats.org/officeDocument/2006/relationships/hyperlink" Target="https://www.ncbi.nlm.nih.gov/pubmed/?term=Eker%20P%5BAuthor%5D&amp;cauthor=true&amp;cauthor_uid=30004902" TargetMode="External"/><Relationship Id="rId45" Type="http://schemas.openxmlformats.org/officeDocument/2006/relationships/hyperlink" Target="https://www.ncbi.nlm.nih.gov/pubmed/?term=Ibarz%20M%5BAuthor%5D&amp;cauthor=true&amp;cauthor_uid=30004902" TargetMode="External"/><Relationship Id="rId53" Type="http://schemas.openxmlformats.org/officeDocument/2006/relationships/hyperlink" Target="https://www.ncbi.nlm.nih.gov/pubmed/?term=De%20la%20Salle%20B%5BAuthor%5D&amp;cauthor=true&amp;cauthor_uid=30004902" TargetMode="External"/><Relationship Id="rId58" Type="http://schemas.openxmlformats.org/officeDocument/2006/relationships/hyperlink" Target="https://www.ncbi.nlm.nih.gov/pubmed/3000490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library.ru/author_items.asp?authorid=666313" TargetMode="External"/><Relationship Id="rId23" Type="http://schemas.openxmlformats.org/officeDocument/2006/relationships/hyperlink" Target="https://www.ncbi.nlm.nih.gov/pubmed/?term=Kavsak%20PA%5BAuthor%5D&amp;cauthor=true&amp;cauthor_uid=22291142" TargetMode="External"/><Relationship Id="rId28" Type="http://schemas.openxmlformats.org/officeDocument/2006/relationships/hyperlink" Target="https://www.ncbi.nlm.nih.gov/pubmed/?term=Brooks%20D%5BAuthor%5D&amp;cauthor=true&amp;cauthor_uid=22291142" TargetMode="External"/><Relationship Id="rId36" Type="http://schemas.openxmlformats.org/officeDocument/2006/relationships/hyperlink" Target="https://www.ncbi.nlm.nih.gov/pubmed/?term=Cadamuro%20J%5BAuthor%5D&amp;cauthor=true&amp;cauthor_uid=30004902" TargetMode="External"/><Relationship Id="rId49" Type="http://schemas.openxmlformats.org/officeDocument/2006/relationships/hyperlink" Target="https://www.ncbi.nlm.nih.gov/pubmed/?term=Lima-Oliveira%20G%5BAuthor%5D&amp;cauthor=true&amp;cauthor_uid=30004902" TargetMode="External"/><Relationship Id="rId57" Type="http://schemas.openxmlformats.org/officeDocument/2006/relationships/hyperlink" Target="https://www.ncbi.nlm.nih.gov/pubmed/?term=EFLM-COLABIOCLI+Clin+Chem+Lab+Med+2018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elibrary.ru/download/elibrary_21681750_36740395.pdf" TargetMode="External"/><Relationship Id="rId19" Type="http://schemas.openxmlformats.org/officeDocument/2006/relationships/hyperlink" Target="https://elibrary.ru/contents.asp?id=34076620" TargetMode="External"/><Relationship Id="rId31" Type="http://schemas.openxmlformats.org/officeDocument/2006/relationships/hyperlink" Target="https://doi.org/10.1373/clinchem.2011.179044" TargetMode="External"/><Relationship Id="rId44" Type="http://schemas.openxmlformats.org/officeDocument/2006/relationships/hyperlink" Target="https://www.ncbi.nlm.nih.gov/pubmed/?term=Hoke%20R%5BAuthor%5D&amp;cauthor=true&amp;cauthor_uid=30004902" TargetMode="External"/><Relationship Id="rId52" Type="http://schemas.openxmlformats.org/officeDocument/2006/relationships/hyperlink" Target="https://www.ncbi.nlm.nih.gov/pubmed/?term=Nybo%20M%5BAuthor%5D&amp;cauthor=true&amp;cauthor_uid=30004902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library.ru/download/elibrary_21243683_88811471.pdf" TargetMode="External"/><Relationship Id="rId14" Type="http://schemas.openxmlformats.org/officeDocument/2006/relationships/hyperlink" Target="https://fedlab.ru/upload/medialibrary/3f4/kochetov-ag.-klin-rek_-kld.-obespechenie-klinicheskoy-bezopasnosti-polucheniya-i-primeneniya-laboratornoy-informatsii_-may-2013.pdf" TargetMode="External"/><Relationship Id="rId22" Type="http://schemas.openxmlformats.org/officeDocument/2006/relationships/hyperlink" Target="https://www.ncbi.nlm.nih.gov/pubmed/31605419" TargetMode="External"/><Relationship Id="rId27" Type="http://schemas.openxmlformats.org/officeDocument/2006/relationships/hyperlink" Target="https://www.ncbi.nlm.nih.gov/pubmed/?term=Clark%20L%5BAuthor%5D&amp;cauthor=true&amp;cauthor_uid=22291142" TargetMode="External"/><Relationship Id="rId30" Type="http://schemas.openxmlformats.org/officeDocument/2006/relationships/hyperlink" Target="https://www.ncbi.nlm.nih.gov/pubmed/22291142" TargetMode="External"/><Relationship Id="rId35" Type="http://schemas.openxmlformats.org/officeDocument/2006/relationships/hyperlink" Target="https://www.ncbi.nlm.nih.gov/pubmed/?term=B%C3%B6lenius%20K%5BAuthor%5D&amp;cauthor=true&amp;cauthor_uid=30004902" TargetMode="External"/><Relationship Id="rId43" Type="http://schemas.openxmlformats.org/officeDocument/2006/relationships/hyperlink" Target="https://www.ncbi.nlm.nih.gov/pubmed/?term=Guimaraes%20JT%5BAuthor%5D&amp;cauthor=true&amp;cauthor_uid=30004902" TargetMode="External"/><Relationship Id="rId48" Type="http://schemas.openxmlformats.org/officeDocument/2006/relationships/hyperlink" Target="https://www.ncbi.nlm.nih.gov/pubmed/?term=Kristensen%20GBB%5BAuthor%5D&amp;cauthor=true&amp;cauthor_uid=30004902" TargetMode="External"/><Relationship Id="rId56" Type="http://schemas.openxmlformats.org/officeDocument/2006/relationships/hyperlink" Target="https://www.ncbi.nlm.nih.gov/pubmed/?term=Vermeersch%20P%5BAuthor%5D&amp;cauthor=true&amp;cauthor_uid=30004902" TargetMode="External"/><Relationship Id="rId8" Type="http://schemas.openxmlformats.org/officeDocument/2006/relationships/hyperlink" Target="https://elibrary.ru/download/elibrary_20726036_38002450.pdf" TargetMode="External"/><Relationship Id="rId51" Type="http://schemas.openxmlformats.org/officeDocument/2006/relationships/hyperlink" Target="https://www.ncbi.nlm.nih.gov/pubmed/?term=von%20Meyer%20A%5BAuthor%5D&amp;cauthor=true&amp;cauthor_uid=300049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download/elibrary_36285301_31554849.pdf" TargetMode="External"/><Relationship Id="rId17" Type="http://schemas.openxmlformats.org/officeDocument/2006/relationships/hyperlink" Target="https://elibrary.ru/item.asp?id=23609803" TargetMode="External"/><Relationship Id="rId25" Type="http://schemas.openxmlformats.org/officeDocument/2006/relationships/hyperlink" Target="https://www.ncbi.nlm.nih.gov/pubmed/?term=Wang%20L%5BAuthor%5D&amp;cauthor=true&amp;cauthor_uid=22291142" TargetMode="External"/><Relationship Id="rId33" Type="http://schemas.openxmlformats.org/officeDocument/2006/relationships/hyperlink" Target="https://doi.org/10.1515/cclm-2012-0582" TargetMode="External"/><Relationship Id="rId38" Type="http://schemas.openxmlformats.org/officeDocument/2006/relationships/hyperlink" Target="https://www.ncbi.nlm.nih.gov/pubmed/?term=Cornes%20MP%5BAuthor%5D&amp;cauthor=true&amp;cauthor_uid=30004902" TargetMode="External"/><Relationship Id="rId46" Type="http://schemas.openxmlformats.org/officeDocument/2006/relationships/hyperlink" Target="https://www.ncbi.nlm.nih.gov/pubmed/?term=Ivanov%20H%5BAuthor%5D&amp;cauthor=true&amp;cauthor_uid=30004902" TargetMode="External"/><Relationship Id="rId59" Type="http://schemas.openxmlformats.org/officeDocument/2006/relationships/hyperlink" Target="https://doi.org/10.1515/cclm-2018-0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6</cp:revision>
  <dcterms:created xsi:type="dcterms:W3CDTF">2019-12-20T12:09:00Z</dcterms:created>
  <dcterms:modified xsi:type="dcterms:W3CDTF">2019-12-23T13:11:00Z</dcterms:modified>
</cp:coreProperties>
</file>