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C88C4" w14:textId="35AB0C19" w:rsidR="00465885" w:rsidRDefault="004E7EDA">
      <w:r>
        <w:rPr>
          <w:noProof/>
        </w:rPr>
        <w:drawing>
          <wp:inline distT="0" distB="0" distL="0" distR="0" wp14:anchorId="756EB9E8" wp14:editId="63FFF738">
            <wp:extent cx="4686300" cy="46958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DFBEDE0" w14:textId="44E19F90" w:rsidR="004E7EDA" w:rsidRDefault="004E7EDA"/>
    <w:p w14:paraId="5BEFF126" w14:textId="77777777" w:rsidR="004E7EDA" w:rsidRPr="0011188D" w:rsidRDefault="004E7EDA" w:rsidP="004E7EDA">
      <w:pPr>
        <w:spacing w:after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Рисунок 1. Характер изменений параметров нейтрофилов </w:t>
      </w:r>
      <w:r w:rsidRPr="0011188D">
        <w:rPr>
          <w:rFonts w:ascii="Times New Roman" w:hAnsi="Times New Roman"/>
          <w:b/>
          <w:kern w:val="28"/>
          <w:sz w:val="28"/>
          <w:szCs w:val="28"/>
        </w:rPr>
        <w:t>в зависимости от</w:t>
      </w:r>
      <w:r>
        <w:rPr>
          <w:rFonts w:ascii="Times New Roman" w:hAnsi="Times New Roman"/>
          <w:b/>
          <w:kern w:val="28"/>
          <w:sz w:val="28"/>
          <w:szCs w:val="28"/>
        </w:rPr>
        <w:t xml:space="preserve"> уровня мочевины в крови</w:t>
      </w:r>
    </w:p>
    <w:p w14:paraId="1F0322B0" w14:textId="77777777" w:rsidR="004E7EDA" w:rsidRPr="0011188D" w:rsidRDefault="004E7EDA" w:rsidP="004E7EDA">
      <w:pPr>
        <w:spacing w:after="0" w:line="360" w:lineRule="exact"/>
        <w:jc w:val="both"/>
        <w:rPr>
          <w:rFonts w:ascii="Times New Roman" w:hAnsi="Times New Roman"/>
          <w:b/>
          <w:kern w:val="28"/>
          <w:sz w:val="28"/>
          <w:szCs w:val="28"/>
        </w:rPr>
      </w:pPr>
      <w:r w:rsidRPr="0011188D">
        <w:rPr>
          <w:rFonts w:ascii="Times New Roman" w:hAnsi="Times New Roman"/>
          <w:b/>
          <w:kern w:val="28"/>
          <w:sz w:val="28"/>
          <w:szCs w:val="28"/>
        </w:rPr>
        <w:t xml:space="preserve">Примечание. На диаграмме представлены относительные изменения показателей у пациентов групп 1 </w:t>
      </w:r>
      <w:bookmarkStart w:id="0" w:name="_Hlk25903945"/>
      <w:r w:rsidRPr="0011188D">
        <w:rPr>
          <w:rFonts w:ascii="Times New Roman" w:hAnsi="Times New Roman"/>
          <w:b/>
          <w:kern w:val="28"/>
          <w:sz w:val="28"/>
          <w:szCs w:val="28"/>
        </w:rPr>
        <w:t xml:space="preserve">(уровень мочевины менее 20 </w:t>
      </w:r>
      <w:proofErr w:type="spellStart"/>
      <w:r>
        <w:rPr>
          <w:rFonts w:ascii="Times New Roman" w:hAnsi="Times New Roman"/>
          <w:b/>
          <w:kern w:val="28"/>
          <w:sz w:val="28"/>
          <w:szCs w:val="28"/>
        </w:rPr>
        <w:t>ммоль</w:t>
      </w:r>
      <w:proofErr w:type="spellEnd"/>
      <w:r>
        <w:rPr>
          <w:rFonts w:ascii="Times New Roman" w:hAnsi="Times New Roman"/>
          <w:b/>
          <w:kern w:val="28"/>
          <w:sz w:val="28"/>
          <w:szCs w:val="28"/>
        </w:rPr>
        <w:t>/л</w:t>
      </w:r>
      <w:r w:rsidRPr="0011188D">
        <w:rPr>
          <w:rFonts w:ascii="Times New Roman" w:hAnsi="Times New Roman"/>
          <w:b/>
          <w:kern w:val="28"/>
          <w:sz w:val="28"/>
          <w:szCs w:val="28"/>
        </w:rPr>
        <w:t xml:space="preserve">) </w:t>
      </w:r>
      <w:bookmarkEnd w:id="0"/>
      <w:r w:rsidRPr="0011188D">
        <w:rPr>
          <w:rFonts w:ascii="Times New Roman" w:hAnsi="Times New Roman"/>
          <w:b/>
          <w:kern w:val="28"/>
          <w:sz w:val="28"/>
          <w:szCs w:val="28"/>
        </w:rPr>
        <w:t xml:space="preserve">и 2 (уровень мочевины более 20 </w:t>
      </w:r>
      <w:proofErr w:type="spellStart"/>
      <w:r>
        <w:rPr>
          <w:rFonts w:ascii="Times New Roman" w:hAnsi="Times New Roman"/>
          <w:b/>
          <w:kern w:val="28"/>
          <w:sz w:val="28"/>
          <w:szCs w:val="28"/>
        </w:rPr>
        <w:t>ммоль</w:t>
      </w:r>
      <w:proofErr w:type="spellEnd"/>
      <w:r>
        <w:rPr>
          <w:rFonts w:ascii="Times New Roman" w:hAnsi="Times New Roman"/>
          <w:b/>
          <w:kern w:val="28"/>
          <w:sz w:val="28"/>
          <w:szCs w:val="28"/>
        </w:rPr>
        <w:t>/л</w:t>
      </w:r>
      <w:r w:rsidRPr="0011188D">
        <w:rPr>
          <w:rFonts w:ascii="Times New Roman" w:hAnsi="Times New Roman"/>
          <w:b/>
          <w:kern w:val="28"/>
          <w:sz w:val="28"/>
          <w:szCs w:val="28"/>
        </w:rPr>
        <w:t xml:space="preserve">) в сравнении со значениями здоровых лиц, принятыми за 100%. </w:t>
      </w:r>
    </w:p>
    <w:p w14:paraId="56567248" w14:textId="77777777" w:rsidR="004E7EDA" w:rsidRPr="00D26650" w:rsidRDefault="004E7EDA" w:rsidP="004E7EDA">
      <w:pPr>
        <w:spacing w:after="0" w:line="360" w:lineRule="exact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14:paraId="4D6B24C6" w14:textId="77777777" w:rsidR="004E7EDA" w:rsidRPr="00E5037F" w:rsidRDefault="004E7EDA" w:rsidP="004E7EDA">
      <w:pPr>
        <w:spacing w:after="0"/>
        <w:jc w:val="both"/>
        <w:rPr>
          <w:rFonts w:ascii="Times New Roman" w:hAnsi="Times New Roman"/>
          <w:kern w:val="28"/>
          <w:sz w:val="28"/>
          <w:szCs w:val="28"/>
          <w:lang w:val="en-US"/>
        </w:rPr>
      </w:pPr>
      <w:r w:rsidRPr="00E5037F">
        <w:rPr>
          <w:rFonts w:ascii="Times New Roman" w:hAnsi="Times New Roman"/>
          <w:kern w:val="28"/>
          <w:sz w:val="28"/>
          <w:szCs w:val="28"/>
          <w:lang w:val="en-US"/>
        </w:rPr>
        <w:t>Figure 1. Comparison of groups depending on the level of urea in the blood.</w:t>
      </w:r>
    </w:p>
    <w:p w14:paraId="226E99FF" w14:textId="77777777" w:rsidR="004E7EDA" w:rsidRPr="0011188D" w:rsidRDefault="004E7EDA" w:rsidP="004E7EDA">
      <w:pPr>
        <w:spacing w:after="0" w:line="360" w:lineRule="exact"/>
        <w:jc w:val="both"/>
        <w:rPr>
          <w:rFonts w:ascii="Times New Roman" w:hAnsi="Times New Roman"/>
          <w:kern w:val="28"/>
          <w:sz w:val="28"/>
          <w:szCs w:val="28"/>
          <w:lang w:val="en-US"/>
        </w:rPr>
      </w:pPr>
      <w:r w:rsidRPr="0011188D">
        <w:rPr>
          <w:rFonts w:ascii="Times New Roman" w:hAnsi="Times New Roman"/>
          <w:kern w:val="28"/>
          <w:sz w:val="28"/>
          <w:szCs w:val="28"/>
          <w:lang w:val="en-US"/>
        </w:rPr>
        <w:t>Note. The diagram shows the relative changes in the indicators in patients of groups 1 (urea level less than 20 mmol / L) and 2 (urea level more than 20 mmol / L) compared with the values of healthy individuals taken as 100%.</w:t>
      </w:r>
    </w:p>
    <w:p w14:paraId="1EB33473" w14:textId="5D1011C6" w:rsidR="004E7EDA" w:rsidRDefault="004E7EDA">
      <w:pPr>
        <w:rPr>
          <w:lang w:val="en-US"/>
        </w:rPr>
      </w:pPr>
    </w:p>
    <w:p w14:paraId="7EE48677" w14:textId="77777777" w:rsidR="00771E54" w:rsidRPr="009216A2" w:rsidRDefault="00771E54">
      <w:pPr>
        <w:rPr>
          <w:lang w:val="en-US"/>
        </w:rPr>
      </w:pPr>
      <w:bookmarkStart w:id="1" w:name="_GoBack"/>
      <w:bookmarkEnd w:id="1"/>
    </w:p>
    <w:sectPr w:rsidR="00771E54" w:rsidRPr="0092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98"/>
    <w:rsid w:val="00074998"/>
    <w:rsid w:val="00465885"/>
    <w:rsid w:val="004E7EDA"/>
    <w:rsid w:val="00771E54"/>
    <w:rsid w:val="009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312B"/>
  <w15:chartTrackingRefBased/>
  <w15:docId w15:val="{530DF4A1-088F-4C07-98C7-00D7446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435290100932504"/>
          <c:y val="0.12348522357626189"/>
          <c:w val="0.81415338326611597"/>
          <c:h val="0.81250195652521118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Здоровые лица n=60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6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Лист1!$A$2:$A$9</c:f>
              <c:strCache>
                <c:ptCount val="8"/>
                <c:pt idx="0">
                  <c:v>НСТсп,%</c:v>
                </c:pt>
                <c:pt idx="1">
                  <c:v>НСТст,%</c:v>
                </c:pt>
                <c:pt idx="2">
                  <c:v>NETs30сп,%</c:v>
                </c:pt>
                <c:pt idx="3">
                  <c:v>NETs30ст,%</c:v>
                </c:pt>
                <c:pt idx="4">
                  <c:v>NETs150сп,%</c:v>
                </c:pt>
                <c:pt idx="5">
                  <c:v>NETs150ст,%</c:v>
                </c:pt>
                <c:pt idx="6">
                  <c:v>Асп,%</c:v>
                </c:pt>
                <c:pt idx="7">
                  <c:v>Аст,%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9-4236-9C64-3D0272802A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1</c:v>
                </c:pt>
              </c:strCache>
            </c:strRef>
          </c:tx>
          <c:spPr>
            <a:ln w="28575" cap="rnd" cmpd="sng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  <a:headEnd type="none" w="lg" len="lg"/>
            </a:ln>
            <a:effectLst/>
          </c:spPr>
          <c:marker>
            <c:symbol val="diamond"/>
            <c:size val="8"/>
            <c:spPr>
              <a:solidFill>
                <a:schemeClr val="tx1">
                  <a:lumMod val="75000"/>
                  <a:lumOff val="25000"/>
                </a:schemeClr>
              </a:solidFill>
              <a:ln w="9525">
                <a:solidFill>
                  <a:schemeClr val="accent3"/>
                </a:solidFill>
              </a:ln>
              <a:effectLst/>
            </c:spPr>
          </c:marker>
          <c:dPt>
            <c:idx val="3"/>
            <c:marker>
              <c:symbol val="diamond"/>
              <c:size val="8"/>
              <c:spPr>
                <a:solidFill>
                  <a:schemeClr val="tx1">
                    <a:lumMod val="85000"/>
                    <a:lumOff val="15000"/>
                  </a:schemeClr>
                </a:solidFill>
                <a:ln w="9525">
                  <a:solidFill>
                    <a:schemeClr val="accent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38D9-4236-9C64-3D0272802A0D}"/>
              </c:ext>
            </c:extLst>
          </c:dPt>
          <c:cat>
            <c:strRef>
              <c:f>Лист1!$A$2:$A$9</c:f>
              <c:strCache>
                <c:ptCount val="8"/>
                <c:pt idx="0">
                  <c:v>НСТсп,%</c:v>
                </c:pt>
                <c:pt idx="1">
                  <c:v>НСТст,%</c:v>
                </c:pt>
                <c:pt idx="2">
                  <c:v>NETs30сп,%</c:v>
                </c:pt>
                <c:pt idx="3">
                  <c:v>NETs30ст,%</c:v>
                </c:pt>
                <c:pt idx="4">
                  <c:v>NETs150сп,%</c:v>
                </c:pt>
                <c:pt idx="5">
                  <c:v>NETs150ст,%</c:v>
                </c:pt>
                <c:pt idx="6">
                  <c:v>Асп,%</c:v>
                </c:pt>
                <c:pt idx="7">
                  <c:v>Аст,%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160</c:v>
                </c:pt>
                <c:pt idx="1">
                  <c:v>150</c:v>
                </c:pt>
                <c:pt idx="2">
                  <c:v>200</c:v>
                </c:pt>
                <c:pt idx="3">
                  <c:v>130</c:v>
                </c:pt>
                <c:pt idx="4">
                  <c:v>110</c:v>
                </c:pt>
                <c:pt idx="5">
                  <c:v>110</c:v>
                </c:pt>
                <c:pt idx="6">
                  <c:v>170</c:v>
                </c:pt>
                <c:pt idx="7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D9-4236-9C64-3D0272802A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Группа 2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triangle"/>
            <c:size val="7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Лист1!$A$2:$A$9</c:f>
              <c:strCache>
                <c:ptCount val="8"/>
                <c:pt idx="0">
                  <c:v>НСТсп,%</c:v>
                </c:pt>
                <c:pt idx="1">
                  <c:v>НСТст,%</c:v>
                </c:pt>
                <c:pt idx="2">
                  <c:v>NETs30сп,%</c:v>
                </c:pt>
                <c:pt idx="3">
                  <c:v>NETs30ст,%</c:v>
                </c:pt>
                <c:pt idx="4">
                  <c:v>NETs150сп,%</c:v>
                </c:pt>
                <c:pt idx="5">
                  <c:v>NETs150ст,%</c:v>
                </c:pt>
                <c:pt idx="6">
                  <c:v>Асп,%</c:v>
                </c:pt>
                <c:pt idx="7">
                  <c:v>Аст,%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85</c:v>
                </c:pt>
                <c:pt idx="1">
                  <c:v>100</c:v>
                </c:pt>
                <c:pt idx="2">
                  <c:v>230</c:v>
                </c:pt>
                <c:pt idx="3">
                  <c:v>200</c:v>
                </c:pt>
                <c:pt idx="4">
                  <c:v>150</c:v>
                </c:pt>
                <c:pt idx="5">
                  <c:v>110</c:v>
                </c:pt>
                <c:pt idx="6">
                  <c:v>200</c:v>
                </c:pt>
                <c:pt idx="7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D9-4236-9C64-3D0272802A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4872168"/>
        <c:axId val="424872496"/>
      </c:radarChart>
      <c:catAx>
        <c:axId val="424872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872496"/>
        <c:crosses val="autoZero"/>
        <c:auto val="1"/>
        <c:lblAlgn val="ctr"/>
        <c:lblOffset val="100"/>
        <c:noMultiLvlLbl val="0"/>
      </c:catAx>
      <c:valAx>
        <c:axId val="42487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4872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2019-12-06T06:26:00Z</dcterms:created>
  <dcterms:modified xsi:type="dcterms:W3CDTF">2019-12-13T06:45:00Z</dcterms:modified>
</cp:coreProperties>
</file>