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79" w:rsidRDefault="00486179" w:rsidP="004861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Список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литературы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/ References</w:t>
      </w:r>
    </w:p>
    <w:p w:rsidR="008C0715" w:rsidRPr="008C0715" w:rsidRDefault="008C0715" w:rsidP="004861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2554"/>
        <w:gridCol w:w="1806"/>
      </w:tblGrid>
      <w:tr w:rsidR="008C0715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15" w:rsidRDefault="008C0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15" w:rsidRDefault="008C0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Авторы, название публикации и источника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15" w:rsidRDefault="008C0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15" w:rsidRDefault="008C0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Полный интернет-адрес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>
              <w:rPr>
                <w:rFonts w:ascii="Times New Roman" w:hAnsi="Times New Roman"/>
                <w:sz w:val="28"/>
                <w:szCs w:val="28"/>
              </w:rPr>
              <w:t>) цитируемой литературы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4A08AB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8C07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</w:pPr>
            <w:r w:rsidRPr="00642FA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>Алексеева Л.И., Таскина Е.А., Кашеварова Н.Г., Шарапова Е.П., Аникин С.Г., Стребкова Е.А., Короткова Т.А., Раскина Т.А., Зонова Е.В., Оттева Э.Н. Остеоартрит коленных суставов и метаболический синдром: новые подходы к терапии // Научно – практическая ревматология. - 2018  Т. -  56. -  № 2. - стр. 157 -  163.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Alekseeva LI,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Taskina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EA,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Kashevarova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NG, et al. Knee osteoarthritis and metabolic syndrome: new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approachesto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therapy.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Nauchno-Prakticheskaya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Revmatologiya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Rheumatology Scienc</w:t>
            </w:r>
            <w:bookmarkStart w:id="0" w:name="_GoBack"/>
            <w:bookmarkEnd w:id="0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e and Practice. 2018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;56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(2):157-163 (In Russ.).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10.14412/1995-4484-2018-157-163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8C07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Алексеева Л.И. Новые представления о патогенезе остеоартрита, роль метаболических нарушений // Ожирение и метаболизм. — 2019. — Т.16. — </w:t>
            </w: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No</w:t>
            </w: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 — С.75-82. 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doi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https</w:t>
            </w: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doi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org</w:t>
            </w: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/10.14341/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omet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10274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Alekseeva LI. New ideas about the pathogenesis of osteoarthritis, the role of metabolic disorders.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Obesity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metabolism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. 2019;16(2):75-82.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doi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>: https://doi.org/10.14341/omet10274https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8C07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Балабанова Р.М., Дубинина Т.В., 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Эрдес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Ш.Ф. Динамика заболеваемости ревматическими заболеваниями взрослого населения России за 2010–2014 гг. Научно - практическая ревматология. — 2016. — Т.54. — No3. — С. 266–270.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Balabanova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R.M.,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Dubinina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T.V.,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Erdes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S.F. Trends in the incidence of rheumatic diseases in the adult population of Russia over 2010–2014 Rheumatology Science and Practice. </w:t>
            </w:r>
            <w:r w:rsidRPr="00642FAE">
              <w:rPr>
                <w:rFonts w:ascii="Times New Roman" w:hAnsi="Times New Roman"/>
                <w:sz w:val="28"/>
                <w:szCs w:val="28"/>
              </w:rPr>
              <w:t xml:space="preserve">2016;54(3):266-270. </w:t>
            </w:r>
            <w:r w:rsidRPr="00642FAE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Russ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AE" w:rsidRPr="00642FAE" w:rsidRDefault="00642FAE" w:rsidP="00642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Головач І. Ю. Метаболический фенотип остеоартрита. Современные взгляды на патогенез, механизмы прогрессирования и подходы к лечению</w:t>
            </w:r>
          </w:p>
          <w:p w:rsidR="008C0715" w:rsidRPr="00642FAE" w:rsidRDefault="00642FAE" w:rsidP="00642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</w:t>
            </w:r>
            <w:proofErr w:type="gram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gram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нський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ревматологiчний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журнал // 2018/- №71 (1)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C12BDD" w:rsidRDefault="00642FAE" w:rsidP="00C12BDD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[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Golovach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I.Yu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Ukrainskiy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revmatologicheskiy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zhurnal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= Ukrainian Journal of Rheumatology, 2018, no. 71. </w:t>
            </w: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(In Russ.)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C0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BDD">
              <w:rPr>
                <w:rFonts w:ascii="Times New Roman" w:hAnsi="Times New Roman"/>
                <w:sz w:val="28"/>
                <w:szCs w:val="28"/>
              </w:rPr>
              <w:t>http://www.rheumatology.kiev.ua/article/10652/metabolicheskij-fenotip-osteoartrita-sovremennye-vzglyady-na-patogenez-mexanizmy-progressirovaniya-i-podxody-k-lecheniyu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8C07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Диагностика и лечение метаболического синдрома. В 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кн.</w:t>
            </w:r>
            <w:proofErr w:type="gram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:С</w:t>
            </w:r>
            <w:proofErr w:type="gram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борник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национальных клинических рекомендаций. Москва: </w:t>
            </w:r>
            <w:proofErr w:type="spellStart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Силицея</w:t>
            </w:r>
            <w:proofErr w:type="spellEnd"/>
            <w:r w:rsidRPr="00642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-Полиграф; 2009. С. 106-43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[Diagnosis and treatment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ofmetabolic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syndrome. In: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Sbornik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natsional'nykh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klinicheskikhrekomendatsii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[Collection of National Clinical Recommendations].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Moscow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Silitseya-Poligraf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; 2009. 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</w:rPr>
              <w:t>P. 106-43 (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Russ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>.)].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8C07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8"/>
                <w:szCs w:val="28"/>
                <w:lang w:eastAsia="en-US"/>
              </w:rPr>
            </w:pPr>
            <w:r w:rsidRPr="00642FA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8"/>
                <w:szCs w:val="28"/>
                <w:lang w:eastAsia="en-US"/>
              </w:rPr>
              <w:t>Казыгашева Е.В., Ширинский В.С., Ширинский И.В. Диабет-ассоциированный остеоартрит – синтропия? // Медицинская иммунология, 2016. - Т. - 18, - № 4. - С. 317-330.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Kazygasheva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E.V.,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Shirinsky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V.S.,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Shirinsky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I.V. Diabetes-associated osteoarthritis: a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syntropy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?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Meditsinskaya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immunologiya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= Medical Immunology (Russia), 2016, Vol. 18, no. 4, pp. 317-330. (In Russ.)]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10.15789/1563-0625-2016-4-317-330.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8C07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</w:pP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 xml:space="preserve">Каратеев А.Е., Лила А.М. Остеоартрит: современная клиническая концепция и некоторые перспективные терапевтические подходы. // Научно-практическая ревматология. –2018. - Т.56. </w:t>
            </w: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  <w:t>№1. – С. – 70 -81.https://doi.org/10.14412/1995-4484-2018-70-81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Karateev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A.E., Lila A.M. Osteoarthritis: current clinical concept and some promising therapeutic approaches. Rheumatology Science and Practice. 2018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;56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(1):70-81. (In Russ.)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https://doi.org/10.14412/1995-4484-2018-70-81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04CD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</w:pP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 xml:space="preserve">Коршунов Н.И., Речкина Е.В., Филатова Ю.С., Яльцева Н.В. Остеоартрит и депрессия. </w:t>
            </w: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  <w:t>Научно-практическая ревматология. – 2018.- Т.56. - № 1 С. 93-98. https://doi.org/10.14412/1995-4484-2018-93-98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Korshunov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N.I.,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Rechkina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E.V.,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Filatova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Y.S.,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Yaltseva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N.V. Osteoarthritis and depression. Rheumatology Science and Practice. 2018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;56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(1):93-98. (In Russ.)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https://doi.org/10.14412/1995-4484-2018-93-98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04CD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</w:pP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 xml:space="preserve">Погосова Н.В., Довженко Т.В., Бабин А.Г., Курсаков А.А., Выгодин В.А. Русскоязычная версия опросников </w:t>
            </w: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  <w:t>phq</w:t>
            </w: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 xml:space="preserve">-2 и 9: чувствительность и специфичность при выявлении депрессии у пациентов общемедицинской амбулаторной практики. </w:t>
            </w:r>
            <w:r w:rsidRPr="00642FAE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GB" w:eastAsia="en-US"/>
              </w:rPr>
              <w:t>Кардиоваскулярная терапия и профилактика. 2014;13(3):18-24. https://doi.org/10.15829/1728-8800-2014-3-18-24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Pogosova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N.V.,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Dovzhenko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T.V.,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Babin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A.G.,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Kursakov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A.A.,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Vygodin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V.A. Russian version of phq-2 and 9 questionnaires: sensitivity and specificity in detection of depression in outpatient general medical practice. Cardiovascular Therapy and Prevention. 2014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;13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(3):18-24. (In Russ.)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https://doi.org/10.15829/1728-8800-2014-3-18-24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04CD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Пузырев В.П. Генетический взгляд на феномен сочетанной патологии </w:t>
            </w:r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человека // Медицинская генетика. -  2008. - № 9. -  С. 3 - 9.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[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Puzyrev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V.P. Genetic view on the phenomenon of </w:t>
            </w: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combined pathology in human.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Meditsinskaya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genetika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Medical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Genetics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, 2008,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no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. 9,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pp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. 3-9. 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</w:rPr>
              <w:t>Russ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</w:rPr>
              <w:t>.)]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BDD">
              <w:rPr>
                <w:rFonts w:ascii="Times New Roman" w:hAnsi="Times New Roman"/>
                <w:sz w:val="28"/>
                <w:szCs w:val="28"/>
              </w:rPr>
              <w:lastRenderedPageBreak/>
              <w:t>https://elibrary.ru/item.asp?id=11708098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04CD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Рудой О.В., Черныш О.В.  Метаболический синдром: современный взгляд на проблему // Военная медицина. - 2016. - № 1. - С. 107-114.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C12BDD" w:rsidRDefault="00C12BDD" w:rsidP="00C12BD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Rudoy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A. S.</w:t>
            </w: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Chernysh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O. V. </w:t>
            </w: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Metabolic syndrome: a modern view on the problem.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Military Medicine.-2016.-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1.-P.107-114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FAE">
              <w:rPr>
                <w:rFonts w:ascii="Times New Roman" w:hAnsi="Times New Roman"/>
                <w:sz w:val="28"/>
                <w:szCs w:val="28"/>
              </w:rPr>
              <w:t>http://rep.bsmu.by/handle/BSMU/8276</w:t>
            </w:r>
          </w:p>
        </w:tc>
      </w:tr>
      <w:tr w:rsidR="00C12BDD" w:rsidRPr="00C12BDD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C12BDD" w:rsidRDefault="00C12BDD" w:rsidP="00C12BDD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GB" w:eastAsia="en-US"/>
              </w:rPr>
            </w:pPr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Стребкова</w:t>
            </w:r>
            <w:proofErr w:type="spellEnd"/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Е.А., Алексеева Л.И. </w:t>
            </w:r>
            <w:proofErr w:type="spellStart"/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Остеоартроз</w:t>
            </w:r>
            <w:proofErr w:type="spellEnd"/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 метаболический синдром // </w:t>
            </w:r>
            <w:proofErr w:type="spellStart"/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Фарматека</w:t>
            </w:r>
            <w:proofErr w:type="spellEnd"/>
            <w:r w:rsidRPr="00C12B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— 2015. — No17. — С.15 – 19.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C12BDD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[</w:t>
            </w: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Strebkova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EA, Alekseeva LI. </w:t>
            </w: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Osteoartroz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i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metabolicheskii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sindrom.Farmateka</w:t>
            </w:r>
            <w:proofErr w:type="spell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</w:t>
            </w:r>
            <w:proofErr w:type="gramStart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2015;</w:t>
            </w:r>
            <w:proofErr w:type="gramEnd"/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(17):15-19. (In Russ.)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C12BDD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https://lib.medvestnik.ru/articles/Osteoartroz-i-metabolicheskii-sindrom.html</w:t>
            </w:r>
          </w:p>
        </w:tc>
      </w:tr>
      <w:tr w:rsidR="008C0715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C12BDD" w:rsidRDefault="008C0715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04CD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Ширинский</w:t>
            </w:r>
            <w:proofErr w:type="spellEnd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В.С., </w:t>
            </w:r>
            <w:proofErr w:type="spellStart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Казыгашева</w:t>
            </w:r>
            <w:proofErr w:type="spellEnd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Е.В., </w:t>
            </w:r>
            <w:proofErr w:type="spellStart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Ширинский</w:t>
            </w:r>
            <w:proofErr w:type="spellEnd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И.В.  Воспаление и иммунитет: роль в патогенезе остеоартрита // Медицинская иммунология, 2019. - Т.21, №1. - С. 39-48. </w:t>
            </w:r>
            <w:proofErr w:type="spellStart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doi</w:t>
            </w:r>
            <w:proofErr w:type="spellEnd"/>
            <w:r w:rsidRPr="00642F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: 10.15789/1563-0625-2019-1-39-48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642FAE" w:rsidP="00C1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V.S.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Shirinsky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E.V.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Kazygasheva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I.V.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Shirinsky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“Inflammation and immunity: a role of pathogenesis of osteoarthritis”, Medical Immunology (Russia)/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Meditsinskaya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Immunologiya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2019, Vol. 21, no. 1, pp. 39-48.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15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10.15789/1563-0625-2019-1-39-48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9A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Barabási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A.L. Network Medicine – From Obesity to the “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Diseasome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”. N. Engl. J. Med., 2007, no. 357, pp. 404-407.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C12BDD">
              <w:rPr>
                <w:rFonts w:ascii="Times New Roman" w:hAnsi="Times New Roman"/>
                <w:sz w:val="28"/>
                <w:szCs w:val="28"/>
                <w:lang w:val="en-GB"/>
              </w:rPr>
              <w:t>DOI: 10.1056/NEJMe078114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9A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Bellamy N., Buchanan W.W., Goldsmith C.H., Campbell J., Stitt L.W. Validation study of WOMAC: a health status instrument for measuring </w:t>
            </w: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clinically important patient relevant outcomes to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antirheumatic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drug therapy in patients with osteoarthritis of the hip or knee. J.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Rheumatol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, 1988, no. 15, pp. 1833-1840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https://www.ncbi.nlm.nih.gov/pubmed/3068365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112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Berenbaum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F., Griffin T.M., Liu-Bryan R. Metabolic Regulation of Inflammation in Osteoarthritis. Arthritis 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Rheum.,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2017, Vol. 69, no1,pp 9–21.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: 10.1002/art.39842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112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Bliddal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H., Leeds A.R., Christensen R. Osteoarthritis, obesity and weight loss: evidence, hypotheses and horizons — a scoping 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review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Obes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Rev., 2014 Vol. 15, no. 7, pp 578–586.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A1796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doi:</w:t>
            </w:r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10.1111/obr.12173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Calay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E.S.,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Hotamisligil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G.S. Turning off the inflammatory, but not the metabolic, flames. Nat Med., 2013 Vol. 19, no 3, pp 265-7.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proofErr w:type="gramEnd"/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: 10.1038/nm.3114.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194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Capettini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L.S.,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Montecucco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F., Mach F.,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Stergiopulos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N., Santos R.A., da Silva R.F. Role of renin-angiotensin system in inflammation, immunity and aging.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Curr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Pharm Des, 2012, - Vol. 18. 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no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7. - pp 963-70.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DOI : 10.2174/138161212799436593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Farnaghi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S, Crawford R, Xiao Y,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Prasadam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I. Cholesterol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metabo-lism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in pathogenesis of osteoarthritis disease.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Int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J Rheum Dis., 2017 Vol.20, no 2 pp 131-40.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BE2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10.1111/1756-185X.13061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Han C.D., Yang I.H., Lee W.S. Correlation between metabolic syndrome and knee osteoarthritis: data from the Korean National Health and Nutrition Examination Survey (KNHANES),  BMC Public </w:t>
            </w: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Health, 2013, no 13, pp 603.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10.1186/1471-2458-13-603.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Li H, George DM,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Jaarsma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RL, Mao X. Metabolic syndrome and components exacerbate osteoarthritis symptoms of pain,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depressionand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reduced knee function. Ann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Transl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Med., 2016, Vol.4, no 7, pp133.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10.21037/atm.2016.03.48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Miller M. D., Paradis C. F.,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Honck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P. R.,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Mazumdar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S., Stack J. A.,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Rifai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A. H. Rating chronic medical illness burden in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geropsychiatric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practice and research application of the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Cummulative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illness Rating Scale, Psychiatry Res, 1992. Vol. 41, no 3, pp 237–242. PMID:1594710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DOI:10.1016/0165-1781(92)90005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1F3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Puenpatom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R.A., Victor T.W. Increased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prevalenceof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metabolic syndrome in individuals with osteoarthritis: an analysis of NHANES III data. Postgrad Med., 2009, no 121, pp 9-20. </w:t>
            </w:r>
            <w:proofErr w:type="spellStart"/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10.3810/pgm.2009.11.2073.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C04CD8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1F3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Roos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E.M.,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Roos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H.P.,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Lohmander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L.S.,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Ekdahl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C.,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Beynnon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B.D. Knee Injury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andOsteoarthritis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Outcome Score (KOOS) – development of a self-administered outcome measure. J.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Orthop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Sports Phys.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Ther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., 1998, no. 28, pp. 88-96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doi:</w:t>
            </w:r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10.2519/jospt.1998.28.2.88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1F3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Ware J.E. The MOS 36 – item Short – Form Health Survey. Medical Care, 1992, no. 8, pp.473-483.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1796E">
              <w:rPr>
                <w:rFonts w:ascii="Times New Roman" w:hAnsi="Times New Roman"/>
                <w:sz w:val="28"/>
                <w:szCs w:val="28"/>
                <w:lang w:val="en-GB"/>
              </w:rPr>
              <w:t>https://www.ncbi.nlm.nih.gov/pubmed/1593914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Yoshimura N,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Muraki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S, Oka H. Association of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kneeosteoarthritis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with the </w:t>
            </w: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accumulation of metabolic risk factors such as overweight, hypertension,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dyslipidemia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and impaired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glucosetolerance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in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japanese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men and women: The road study. J </w:t>
            </w:r>
            <w:proofErr w:type="spellStart"/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Rheumatol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.,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2011, Vol.38, no 5, pp 921-30.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</w:t>
            </w:r>
            <w:proofErr w:type="spellEnd"/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: 10.3899/Jrheum.10056917</w:t>
            </w: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.</w:t>
            </w:r>
          </w:p>
        </w:tc>
      </w:tr>
      <w:tr w:rsidR="00C12BDD" w:rsidRPr="00642FAE" w:rsidTr="008C07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4A08A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A17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Yoshimura N,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Muraki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S, Oka H. Accumulation of metabolic risk factors such as overweight, hypertension, dyslipidaemia, </w:t>
            </w:r>
            <w:proofErr w:type="spellStart"/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andimpaired</w:t>
            </w:r>
            <w:proofErr w:type="spellEnd"/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glucose tolerance raises the risk of occurrence and progression of knee osteoarthritis: A 3-year follow-up of the </w:t>
            </w:r>
            <w:proofErr w:type="spell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roadstudy</w:t>
            </w:r>
            <w:proofErr w:type="spell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Osteoarthritis </w:t>
            </w:r>
            <w:proofErr w:type="gramStart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Cartilage.,</w:t>
            </w:r>
            <w:proofErr w:type="gramEnd"/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2012, Vol. 20 no 11 pp 1217-26.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C12BDD" w:rsidP="00642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Pr="00642FAE" w:rsidRDefault="00A1796E" w:rsidP="00A1796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42FAE">
              <w:rPr>
                <w:rFonts w:ascii="Times New Roman" w:hAnsi="Times New Roman"/>
                <w:sz w:val="28"/>
                <w:szCs w:val="28"/>
                <w:lang w:val="en-GB"/>
              </w:rPr>
              <w:t>doi:10.1016/j.joca.2012.06.00616.</w:t>
            </w:r>
          </w:p>
        </w:tc>
      </w:tr>
    </w:tbl>
    <w:p w:rsidR="00151466" w:rsidRPr="00642FAE" w:rsidRDefault="00151466" w:rsidP="008C071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GB" w:eastAsia="en-US"/>
        </w:rPr>
      </w:pPr>
    </w:p>
    <w:p w:rsidR="00C12BDD" w:rsidRPr="00642FAE" w:rsidRDefault="00C12BD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GB" w:eastAsia="en-US"/>
        </w:rPr>
      </w:pPr>
    </w:p>
    <w:sectPr w:rsidR="00C12BDD" w:rsidRPr="0064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4C0D"/>
    <w:multiLevelType w:val="hybridMultilevel"/>
    <w:tmpl w:val="C3AE8104"/>
    <w:lvl w:ilvl="0" w:tplc="DE6A0B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052C0"/>
    <w:multiLevelType w:val="hybridMultilevel"/>
    <w:tmpl w:val="3E801286"/>
    <w:lvl w:ilvl="0" w:tplc="F5C2A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A6846"/>
    <w:multiLevelType w:val="hybridMultilevel"/>
    <w:tmpl w:val="2C88B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ED"/>
    <w:rsid w:val="00085342"/>
    <w:rsid w:val="001417C5"/>
    <w:rsid w:val="00151466"/>
    <w:rsid w:val="00202835"/>
    <w:rsid w:val="00205E4E"/>
    <w:rsid w:val="002D682B"/>
    <w:rsid w:val="00344202"/>
    <w:rsid w:val="00350EFE"/>
    <w:rsid w:val="003F5220"/>
    <w:rsid w:val="004760ED"/>
    <w:rsid w:val="00486179"/>
    <w:rsid w:val="004A08AB"/>
    <w:rsid w:val="00642FAE"/>
    <w:rsid w:val="00737A68"/>
    <w:rsid w:val="00780B26"/>
    <w:rsid w:val="00874407"/>
    <w:rsid w:val="008C0715"/>
    <w:rsid w:val="008C5587"/>
    <w:rsid w:val="009754BB"/>
    <w:rsid w:val="00A1796E"/>
    <w:rsid w:val="00A83089"/>
    <w:rsid w:val="00AD02C2"/>
    <w:rsid w:val="00C04CD8"/>
    <w:rsid w:val="00C12BDD"/>
    <w:rsid w:val="00CF49A2"/>
    <w:rsid w:val="00D00DC3"/>
    <w:rsid w:val="00E50E8D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A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6179"/>
    <w:pPr>
      <w:ind w:left="720"/>
      <w:contextualSpacing/>
    </w:pPr>
  </w:style>
  <w:style w:type="table" w:styleId="a5">
    <w:name w:val="Table Grid"/>
    <w:basedOn w:val="a1"/>
    <w:uiPriority w:val="39"/>
    <w:rsid w:val="008C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A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6179"/>
    <w:pPr>
      <w:ind w:left="720"/>
      <w:contextualSpacing/>
    </w:pPr>
  </w:style>
  <w:style w:type="table" w:styleId="a5">
    <w:name w:val="Table Grid"/>
    <w:basedOn w:val="a1"/>
    <w:uiPriority w:val="39"/>
    <w:rsid w:val="008C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Шнайдер</dc:creator>
  <cp:keywords/>
  <dc:description/>
  <cp:lastModifiedBy>IS</cp:lastModifiedBy>
  <cp:revision>14</cp:revision>
  <cp:lastPrinted>2019-10-28T08:58:00Z</cp:lastPrinted>
  <dcterms:created xsi:type="dcterms:W3CDTF">2018-01-17T13:53:00Z</dcterms:created>
  <dcterms:modified xsi:type="dcterms:W3CDTF">2019-10-28T09:16:00Z</dcterms:modified>
</cp:coreProperties>
</file>