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6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5103"/>
        <w:gridCol w:w="3543"/>
        <w:gridCol w:w="1701"/>
        <w:gridCol w:w="3402"/>
      </w:tblGrid>
      <w:tr w:rsidR="009546F9" w:rsidRPr="007F58EA" w:rsidTr="0006796C">
        <w:trPr>
          <w:trHeight w:val="1127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6F9" w:rsidRPr="009546F9" w:rsidRDefault="009546F9" w:rsidP="009546F9">
            <w:pPr>
              <w:pStyle w:val="a5"/>
              <w:jc w:val="center"/>
            </w:pPr>
            <w:r w:rsidRPr="009546F9">
              <w:rPr>
                <w:rStyle w:val="a6"/>
              </w:rPr>
              <w:t>Порядковый номер ссылки</w:t>
            </w:r>
          </w:p>
        </w:tc>
        <w:tc>
          <w:tcPr>
            <w:tcW w:w="86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6F9" w:rsidRDefault="009546F9" w:rsidP="009546F9">
            <w:pPr>
              <w:pStyle w:val="a5"/>
              <w:jc w:val="center"/>
            </w:pPr>
            <w:r>
              <w:rPr>
                <w:rStyle w:val="a6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6F9" w:rsidRDefault="009546F9" w:rsidP="009546F9">
            <w:pPr>
              <w:pStyle w:val="a5"/>
              <w:jc w:val="center"/>
            </w:pPr>
            <w:r>
              <w:rPr>
                <w:rStyle w:val="a6"/>
              </w:rPr>
              <w:t>ФИО, название публикации и источника на английском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6F9" w:rsidRDefault="009546F9" w:rsidP="009546F9">
            <w:pPr>
              <w:pStyle w:val="a5"/>
              <w:jc w:val="center"/>
            </w:pPr>
            <w:r>
              <w:rPr>
                <w:rStyle w:val="a6"/>
              </w:rPr>
              <w:t xml:space="preserve">Полный интернет-адрес (URL) цитируемой статьи или ее </w:t>
            </w:r>
            <w:proofErr w:type="spellStart"/>
            <w:r>
              <w:rPr>
                <w:rStyle w:val="a6"/>
              </w:rPr>
              <w:t>doi</w:t>
            </w:r>
            <w:proofErr w:type="spellEnd"/>
            <w:r>
              <w:rPr>
                <w:rStyle w:val="a6"/>
              </w:rPr>
              <w:t>.</w:t>
            </w:r>
          </w:p>
        </w:tc>
      </w:tr>
      <w:tr w:rsidR="00A97117" w:rsidRPr="006121E6" w:rsidTr="0006796C">
        <w:trPr>
          <w:trHeight w:val="706"/>
        </w:trPr>
        <w:tc>
          <w:tcPr>
            <w:tcW w:w="1757" w:type="dxa"/>
          </w:tcPr>
          <w:p w:rsidR="00A97117" w:rsidRPr="0006796C" w:rsidRDefault="0006796C" w:rsidP="007F58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</w:tcPr>
          <w:p w:rsidR="00A97117" w:rsidRPr="00E32A39" w:rsidRDefault="00A97117" w:rsidP="007F58E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Лоншаков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Катлинский</w:t>
            </w:r>
            <w:proofErr w:type="spellEnd"/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Влияние</w:t>
            </w:r>
            <w:r w:rsidRPr="0006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 xml:space="preserve">методов иммобилизации </w:t>
            </w:r>
            <w:proofErr w:type="spellStart"/>
            <w:r w:rsidRPr="00C87574">
              <w:rPr>
                <w:rFonts w:ascii="Times New Roman" w:hAnsi="Times New Roman" w:cs="Times New Roman"/>
                <w:sz w:val="28"/>
                <w:szCs w:val="28"/>
              </w:rPr>
              <w:t>эритропоэтина</w:t>
            </w:r>
            <w:proofErr w:type="spellEnd"/>
            <w:r w:rsidRPr="00C87574">
              <w:rPr>
                <w:rFonts w:ascii="Times New Roman" w:hAnsi="Times New Roman" w:cs="Times New Roman"/>
                <w:sz w:val="28"/>
                <w:szCs w:val="28"/>
              </w:rPr>
              <w:t xml:space="preserve"> на чувствительность выявления специфических 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</w:t>
            </w:r>
            <w:r w:rsidRPr="00C87574">
              <w:rPr>
                <w:rFonts w:ascii="Times New Roman" w:hAnsi="Times New Roman" w:cs="Times New Roman"/>
                <w:sz w:val="28"/>
                <w:szCs w:val="28"/>
              </w:rPr>
              <w:t xml:space="preserve"> антител в сыворотках крови экспериментальный животных. </w:t>
            </w:r>
            <w:r w:rsidRPr="00E32A39">
              <w:rPr>
                <w:rFonts w:ascii="Times New Roman" w:hAnsi="Times New Roman" w:cs="Times New Roman"/>
                <w:sz w:val="28"/>
                <w:szCs w:val="28"/>
              </w:rPr>
              <w:t>Журнал микробиологии эпидемиологии и иммунологии. 2017, 6:49-55.</w:t>
            </w:r>
          </w:p>
        </w:tc>
        <w:tc>
          <w:tcPr>
            <w:tcW w:w="5244" w:type="dxa"/>
            <w:gridSpan w:val="2"/>
          </w:tcPr>
          <w:p w:rsidR="00A97117" w:rsidRPr="006121E6" w:rsidRDefault="00A97117" w:rsidP="00407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Kudryashova</w:t>
            </w:r>
            <w:proofErr w:type="spellEnd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A.M., </w:t>
            </w:r>
            <w:proofErr w:type="spellStart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Borisova</w:t>
            </w:r>
            <w:proofErr w:type="spellEnd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O.V., </w:t>
            </w:r>
            <w:proofErr w:type="spellStart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Mikhaylova</w:t>
            </w:r>
            <w:proofErr w:type="spellEnd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Lonshakov</w:t>
            </w:r>
            <w:proofErr w:type="spellEnd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D.V., </w:t>
            </w:r>
            <w:proofErr w:type="spellStart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Katlinskiy</w:t>
            </w:r>
            <w:proofErr w:type="spellEnd"/>
            <w:r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 </w:t>
            </w:r>
            <w:r w:rsidR="00F30907" w:rsidRPr="006121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30907"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effect of methods of immobilization of erythropoietin on the sensitivity for the detection of specific IgG antibodies to EPO in experimental animals sera, </w:t>
            </w:r>
            <w:r w:rsidR="006121E6"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J. of Microbiology epidemiology and </w:t>
            </w:r>
            <w:proofErr w:type="spellStart"/>
            <w:r w:rsidR="006121E6"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Immunobiology</w:t>
            </w:r>
            <w:proofErr w:type="spellEnd"/>
            <w:r w:rsidR="006121E6"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30907"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2017, vol.6</w:t>
            </w:r>
            <w:r w:rsidR="00F30907" w:rsidRPr="006121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0907" w:rsidRPr="00612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pp.49-55.</w:t>
            </w:r>
          </w:p>
          <w:p w:rsidR="00A97117" w:rsidRPr="00F30907" w:rsidRDefault="00A97117" w:rsidP="007F58EA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A97117" w:rsidRPr="00F30907" w:rsidRDefault="00A97117" w:rsidP="007F58EA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A97117" w:rsidRPr="003362A6" w:rsidRDefault="003362A6" w:rsidP="007F58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36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  <w:r w:rsidRPr="00336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ID: 37136201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P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6" w:type="dxa"/>
            <w:gridSpan w:val="2"/>
          </w:tcPr>
          <w:p w:rsidR="0006796C" w:rsidRPr="009A2585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Barger T.E., </w:t>
            </w:r>
            <w:proofErr w:type="spellStart"/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Kuck</w:t>
            </w:r>
            <w:proofErr w:type="spellEnd"/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A.J., </w:t>
            </w:r>
            <w:proofErr w:type="spellStart"/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Chirmule</w:t>
            </w:r>
            <w:proofErr w:type="spellEnd"/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et al. Detection of anti-ESA antibodies in human samples from PRCA and non-PRCA patients: an immunoassay platform comparison.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Nephrol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Dial. Transplant. 2012,</w:t>
            </w:r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t xml:space="preserve">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F73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688–693.</w:t>
            </w:r>
          </w:p>
        </w:tc>
        <w:tc>
          <w:tcPr>
            <w:tcW w:w="1701" w:type="dxa"/>
          </w:tcPr>
          <w:p w:rsidR="0006796C" w:rsidRPr="00F73243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C8757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E95F8C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C87574">
              <w:rPr>
                <w:sz w:val="28"/>
                <w:szCs w:val="28"/>
                <w:lang w:val="en-US"/>
              </w:rPr>
              <w:t xml:space="preserve">    </w:t>
            </w:r>
            <w:r w:rsidRPr="00E95F8C">
              <w:rPr>
                <w:sz w:val="28"/>
                <w:szCs w:val="28"/>
                <w:lang w:val="en-US"/>
              </w:rPr>
              <w:t>[</w:t>
            </w:r>
            <w:r w:rsidRPr="00C87574">
              <w:rPr>
                <w:sz w:val="28"/>
                <w:szCs w:val="28"/>
                <w:lang w:val="en-US"/>
              </w:rPr>
              <w:t>10.1093/</w:t>
            </w:r>
            <w:proofErr w:type="spellStart"/>
            <w:r w:rsidRPr="00C87574">
              <w:rPr>
                <w:sz w:val="28"/>
                <w:szCs w:val="28"/>
                <w:lang w:val="en-US"/>
              </w:rPr>
              <w:t>ndt</w:t>
            </w:r>
            <w:proofErr w:type="spellEnd"/>
            <w:r w:rsidRPr="00C87574">
              <w:rPr>
                <w:sz w:val="28"/>
                <w:szCs w:val="28"/>
                <w:lang w:val="en-US"/>
              </w:rPr>
              <w:t>/gfr213]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  <w:gridSpan w:val="2"/>
          </w:tcPr>
          <w:p w:rsidR="0006796C" w:rsidRPr="005F51C3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Barger T.E., </w:t>
            </w:r>
            <w:proofErr w:type="spellStart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Wrona</w:t>
            </w:r>
            <w:proofErr w:type="spellEnd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GoletzT.J</w:t>
            </w:r>
            <w:proofErr w:type="spellEnd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</w:t>
            </w:r>
            <w:proofErr w:type="gramEnd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al. A detailed examination of the antibody prevalence and characteristics of anti-ESA antibodies. </w:t>
            </w:r>
            <w:proofErr w:type="spellStart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Nephrol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Dial Transplant. 2012, </w:t>
            </w:r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939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2259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</w:t>
            </w:r>
            <w:proofErr w:type="gramEnd"/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E2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3892-3899.</w:t>
            </w:r>
          </w:p>
        </w:tc>
        <w:tc>
          <w:tcPr>
            <w:tcW w:w="1701" w:type="dxa"/>
          </w:tcPr>
          <w:p w:rsidR="0006796C" w:rsidRPr="005F51C3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AE2F9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AE2F9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AE2F94">
              <w:rPr>
                <w:sz w:val="28"/>
                <w:szCs w:val="28"/>
                <w:lang w:val="en-US"/>
              </w:rPr>
              <w:t xml:space="preserve">   [10.1093/</w:t>
            </w:r>
            <w:proofErr w:type="spellStart"/>
            <w:r w:rsidRPr="00AE2F94">
              <w:rPr>
                <w:sz w:val="28"/>
                <w:szCs w:val="28"/>
                <w:lang w:val="en-US"/>
              </w:rPr>
              <w:t>ndt</w:t>
            </w:r>
            <w:proofErr w:type="spellEnd"/>
            <w:r w:rsidRPr="00AE2F94">
              <w:rPr>
                <w:sz w:val="28"/>
                <w:szCs w:val="28"/>
                <w:lang w:val="en-US"/>
              </w:rPr>
              <w:t>/gfs392]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  <w:gridSpan w:val="2"/>
          </w:tcPr>
          <w:p w:rsidR="0006796C" w:rsidRPr="006C7CB2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Bennett C.L., </w:t>
            </w:r>
            <w:proofErr w:type="spellStart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Luminari</w:t>
            </w:r>
            <w:proofErr w:type="spellEnd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Nissenson</w:t>
            </w:r>
            <w:proofErr w:type="spellEnd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A.R. et al. Pure red-cell aplasia and </w:t>
            </w:r>
            <w:proofErr w:type="spellStart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therapy. 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Med.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2004,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pp.1403–1408.</w:t>
            </w:r>
          </w:p>
        </w:tc>
        <w:tc>
          <w:tcPr>
            <w:tcW w:w="1701" w:type="dxa"/>
          </w:tcPr>
          <w:p w:rsidR="0006796C" w:rsidRPr="007F58EA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9F3D0F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9F3D0F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06796C">
              <w:rPr>
                <w:sz w:val="28"/>
                <w:szCs w:val="28"/>
                <w:lang w:val="en-US"/>
              </w:rPr>
              <w:t>[10.1056/NEJMoa040528]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  <w:gridSpan w:val="2"/>
          </w:tcPr>
          <w:p w:rsidR="0006796C" w:rsidRPr="005F51C3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Casadevall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Antibodies against </w:t>
            </w:r>
            <w:proofErr w:type="spell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rHuEPO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native and recombinant. </w:t>
            </w:r>
            <w:proofErr w:type="spell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Nephrol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Dial.Transplant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2002, 11 </w:t>
            </w:r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 42-47.</w:t>
            </w:r>
          </w:p>
        </w:tc>
        <w:tc>
          <w:tcPr>
            <w:tcW w:w="1701" w:type="dxa"/>
          </w:tcPr>
          <w:p w:rsidR="0006796C" w:rsidRPr="00DE263D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F51C3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5E5E49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F51C3">
              <w:rPr>
                <w:sz w:val="28"/>
                <w:szCs w:val="28"/>
                <w:lang w:val="en-US"/>
              </w:rPr>
              <w:t>[</w:t>
            </w:r>
            <w:r w:rsidRPr="005F51C3">
              <w:rPr>
                <w:sz w:val="28"/>
                <w:szCs w:val="28"/>
              </w:rPr>
              <w:t>10.1093/</w:t>
            </w:r>
            <w:proofErr w:type="spellStart"/>
            <w:r w:rsidRPr="005F51C3">
              <w:rPr>
                <w:sz w:val="28"/>
                <w:szCs w:val="28"/>
              </w:rPr>
              <w:t>ndt</w:t>
            </w:r>
            <w:proofErr w:type="spellEnd"/>
            <w:r w:rsidRPr="005F51C3">
              <w:rPr>
                <w:sz w:val="28"/>
                <w:szCs w:val="28"/>
              </w:rPr>
              <w:t>/17.suppl_5.42</w:t>
            </w:r>
            <w:r w:rsidRPr="005F51C3">
              <w:rPr>
                <w:sz w:val="28"/>
                <w:szCs w:val="28"/>
                <w:lang w:val="en-US"/>
              </w:rPr>
              <w:t>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646" w:type="dxa"/>
            <w:gridSpan w:val="2"/>
          </w:tcPr>
          <w:p w:rsidR="0006796C" w:rsidRPr="006C7CB2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Casadevall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Eckardt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K.U.,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Rossert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Epoetin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-induced autoimmune pure red cell aplasi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J 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Nephrol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2005,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67–69.</w:t>
            </w:r>
          </w:p>
        </w:tc>
        <w:tc>
          <w:tcPr>
            <w:tcW w:w="1701" w:type="dxa"/>
          </w:tcPr>
          <w:p w:rsidR="0006796C" w:rsidRPr="007F58EA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7F58EA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9F3D0F">
              <w:rPr>
                <w:sz w:val="28"/>
                <w:szCs w:val="28"/>
                <w:lang w:val="en-US"/>
              </w:rPr>
              <w:t>[10.1681/asn.2004110959]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  <w:gridSpan w:val="2"/>
          </w:tcPr>
          <w:p w:rsidR="0006796C" w:rsidRPr="007F58EA" w:rsidRDefault="0006796C" w:rsidP="000679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Casadevall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Nataf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Viron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et al. Pure red-cell aplasia and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antierythropoietin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antibodies in patients treated with recombinant erythro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poietin. New Engl. J. Med.</w:t>
            </w:r>
            <w:r w:rsidRPr="00067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2002,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 w:rsidRPr="00067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</w:t>
            </w:r>
            <w:r w:rsidRPr="0006796C">
              <w:rPr>
                <w:lang w:val="en-US"/>
              </w:rPr>
              <w:t xml:space="preserve"> 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067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469-475.  </w:t>
            </w:r>
          </w:p>
        </w:tc>
        <w:tc>
          <w:tcPr>
            <w:tcW w:w="1701" w:type="dxa"/>
          </w:tcPr>
          <w:p w:rsidR="0006796C" w:rsidRPr="007F58EA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7F58EA" w:rsidRDefault="0006796C" w:rsidP="000679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7C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[10.1056/NEJMoa011931]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6" w:type="dxa"/>
            <w:gridSpan w:val="2"/>
          </w:tcPr>
          <w:p w:rsidR="0006796C" w:rsidRPr="005F51C3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El-Din M., </w:t>
            </w:r>
            <w:proofErr w:type="spell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Attia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Labib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Omar W. Detection of circulating </w:t>
            </w:r>
            <w:proofErr w:type="spellStart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antierythropoietin</w:t>
            </w:r>
            <w:proofErr w:type="spellEnd"/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antibodies in patients with end stage renal disease on regular hemodialysis. Int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J. Lab.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Hematol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2010,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</w:t>
            </w:r>
            <w:r>
              <w:t xml:space="preserve">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 336-343.</w:t>
            </w:r>
          </w:p>
        </w:tc>
        <w:tc>
          <w:tcPr>
            <w:tcW w:w="1701" w:type="dxa"/>
          </w:tcPr>
          <w:p w:rsidR="0006796C" w:rsidRPr="005F51C3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F51C3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5F51C3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AE2F94">
              <w:rPr>
                <w:sz w:val="28"/>
                <w:szCs w:val="28"/>
                <w:lang w:val="en-US"/>
              </w:rPr>
              <w:t xml:space="preserve">    [10.1111/j.1751-553X.2009.01186.x]</w:t>
            </w:r>
          </w:p>
        </w:tc>
      </w:tr>
      <w:tr w:rsidR="0006796C" w:rsidRPr="002259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6" w:type="dxa"/>
            <w:gridSpan w:val="2"/>
          </w:tcPr>
          <w:p w:rsidR="0006796C" w:rsidRPr="009F3D0F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Gross J., Moller R., Henke W. Detection of anti-EPO antibodies in human sera by a bridging ELISA is much more sensitive when coating biotinylated </w:t>
            </w:r>
            <w:proofErr w:type="spellStart"/>
            <w:r w:rsidRPr="009A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rhEPO</w:t>
            </w:r>
            <w:proofErr w:type="spellEnd"/>
            <w:r w:rsidRPr="009A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streptavidin rather than using direct coat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rhEPO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Methods, 2006,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313</w:t>
            </w:r>
            <w:r w:rsidRPr="0006796C">
              <w:rPr>
                <w:lang w:val="en-US"/>
              </w:rPr>
              <w:t xml:space="preserve">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(1-2)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9A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176-82.</w:t>
            </w:r>
          </w:p>
        </w:tc>
        <w:tc>
          <w:tcPr>
            <w:tcW w:w="1701" w:type="dxa"/>
          </w:tcPr>
          <w:p w:rsidR="0006796C" w:rsidRPr="0043206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F73243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43206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E95F8C">
              <w:rPr>
                <w:sz w:val="28"/>
                <w:szCs w:val="28"/>
                <w:lang w:val="en-US"/>
              </w:rPr>
              <w:t>[10.1016/j.jim.2006.04.008]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Pr="00225939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646" w:type="dxa"/>
            <w:gridSpan w:val="2"/>
          </w:tcPr>
          <w:p w:rsidR="0006796C" w:rsidRPr="00F73243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Guideline on immunogenicity assessment of therapeutic proteins. European Medicines Agency. Committee for Medicinal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Products for Human Use (CHMP),</w:t>
            </w:r>
            <w:r w:rsidRPr="005E5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2017.</w:t>
            </w:r>
          </w:p>
        </w:tc>
        <w:tc>
          <w:tcPr>
            <w:tcW w:w="1701" w:type="dxa"/>
          </w:tcPr>
          <w:p w:rsidR="0006796C" w:rsidRPr="00C8757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C8757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C8757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C87574">
              <w:rPr>
                <w:sz w:val="28"/>
                <w:szCs w:val="28"/>
                <w:lang w:val="en-US"/>
              </w:rPr>
              <w:t>-----------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P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6" w:type="dxa"/>
            <w:gridSpan w:val="2"/>
          </w:tcPr>
          <w:p w:rsidR="0006796C" w:rsidRPr="008800C4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Guideline on validation of bioanalytical methods (draft). European Medicines Agency. Committee for Medicinal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Products of Human Use (CHMP), </w:t>
            </w: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2011.</w:t>
            </w:r>
          </w:p>
        </w:tc>
        <w:tc>
          <w:tcPr>
            <w:tcW w:w="1701" w:type="dxa"/>
          </w:tcPr>
          <w:p w:rsidR="0006796C" w:rsidRPr="008800C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B0216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8800C4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B0216">
              <w:rPr>
                <w:sz w:val="28"/>
                <w:szCs w:val="28"/>
                <w:lang w:val="en-US"/>
              </w:rPr>
              <w:t>-----------</w:t>
            </w:r>
          </w:p>
        </w:tc>
      </w:tr>
      <w:tr w:rsidR="0006796C" w:rsidRPr="00E32A39" w:rsidTr="0006796C">
        <w:trPr>
          <w:trHeight w:val="706"/>
        </w:trPr>
        <w:tc>
          <w:tcPr>
            <w:tcW w:w="1757" w:type="dxa"/>
          </w:tcPr>
          <w:p w:rsidR="0006796C" w:rsidRDefault="0006796C" w:rsidP="00067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6" w:type="dxa"/>
            <w:gridSpan w:val="2"/>
          </w:tcPr>
          <w:p w:rsidR="0006796C" w:rsidRPr="00A97117" w:rsidRDefault="0006796C" w:rsidP="0006796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Guideline Validation 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analitical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procedures (Q2 R1), </w:t>
            </w: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harmonised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tripartite guideline,</w:t>
            </w: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  <w:r w:rsidRPr="00A97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:rsidR="0006796C" w:rsidRPr="005B0216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B0216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06796C" w:rsidRPr="005B0216" w:rsidRDefault="0006796C" w:rsidP="0006796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B0216">
              <w:rPr>
                <w:sz w:val="28"/>
                <w:szCs w:val="28"/>
                <w:lang w:val="en-US"/>
              </w:rPr>
              <w:t>-----------</w:t>
            </w:r>
          </w:p>
        </w:tc>
      </w:tr>
      <w:tr w:rsidR="00903448" w:rsidRPr="00E32A39" w:rsidTr="0006796C">
        <w:trPr>
          <w:trHeight w:val="706"/>
        </w:trPr>
        <w:tc>
          <w:tcPr>
            <w:tcW w:w="1757" w:type="dxa"/>
          </w:tcPr>
          <w:p w:rsidR="00903448" w:rsidRDefault="00903448" w:rsidP="009034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6" w:type="dxa"/>
            <w:gridSpan w:val="2"/>
          </w:tcPr>
          <w:p w:rsidR="00903448" w:rsidRPr="005B0216" w:rsidRDefault="00903448" w:rsidP="0090344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Guidance for Industry: Bioanalytical method validation. U.S. Department of Health and Human Service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 Food and Drug Administration,</w:t>
            </w:r>
            <w:r w:rsidRPr="005B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2013.</w:t>
            </w:r>
          </w:p>
        </w:tc>
        <w:tc>
          <w:tcPr>
            <w:tcW w:w="1701" w:type="dxa"/>
          </w:tcPr>
          <w:p w:rsidR="00903448" w:rsidRPr="005B0216" w:rsidRDefault="00903448" w:rsidP="00903448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B0216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903448" w:rsidRPr="005B0216" w:rsidRDefault="00903448" w:rsidP="00903448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B0216">
              <w:rPr>
                <w:sz w:val="28"/>
                <w:szCs w:val="28"/>
                <w:lang w:val="en-US"/>
              </w:rPr>
              <w:t>-----------</w:t>
            </w:r>
          </w:p>
        </w:tc>
      </w:tr>
      <w:tr w:rsidR="0049685B" w:rsidRPr="00E32A39" w:rsidTr="0006796C">
        <w:trPr>
          <w:trHeight w:val="706"/>
        </w:trPr>
        <w:tc>
          <w:tcPr>
            <w:tcW w:w="1757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6" w:type="dxa"/>
            <w:gridSpan w:val="2"/>
          </w:tcPr>
          <w:p w:rsidR="0049685B" w:rsidRPr="006C7CB2" w:rsidRDefault="0049685B" w:rsidP="0049685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Herrington W.,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Wieser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Rosenkranz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A.R.  Pure red cell aplasia after treatment of renal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anaemia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epoetin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theta. </w:t>
            </w:r>
            <w:proofErr w:type="spellStart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Kidney J.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C7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539–542.</w:t>
            </w:r>
          </w:p>
        </w:tc>
        <w:tc>
          <w:tcPr>
            <w:tcW w:w="1701" w:type="dxa"/>
          </w:tcPr>
          <w:p w:rsidR="0049685B" w:rsidRPr="007F58EA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49685B" w:rsidRPr="007F58EA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[10.1039/C5RA04950D]</w:t>
            </w:r>
          </w:p>
        </w:tc>
      </w:tr>
      <w:tr w:rsidR="0049685B" w:rsidRPr="00E32A39" w:rsidTr="0006796C">
        <w:trPr>
          <w:trHeight w:val="706"/>
        </w:trPr>
        <w:tc>
          <w:tcPr>
            <w:tcW w:w="1757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6" w:type="dxa"/>
            <w:gridSpan w:val="2"/>
          </w:tcPr>
          <w:p w:rsidR="0049685B" w:rsidRPr="007F58EA" w:rsidRDefault="0049685B" w:rsidP="00E40DD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F5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Macdougall</w:t>
            </w:r>
            <w:proofErr w:type="spellEnd"/>
            <w:r w:rsidRPr="007F5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I.C., </w:t>
            </w:r>
            <w:proofErr w:type="spellStart"/>
            <w:r w:rsidRPr="007F5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Casadevall</w:t>
            </w:r>
            <w:proofErr w:type="spellEnd"/>
            <w:r w:rsidRPr="007F5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Locatelli F.,</w:t>
            </w:r>
            <w:r w:rsidR="00E40DD0" w:rsidRPr="00E40DD0">
              <w:rPr>
                <w:lang w:val="en-US"/>
              </w:rPr>
              <w:t xml:space="preserve"> </w:t>
            </w:r>
            <w:r w:rsidR="00E40DD0" w:rsidRPr="00E40D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et al. 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Incidence of erythropoietin antibody-mediated pure red cell aplasia: the Prospective 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Immunogenicity Surveillance Registry (PRIMS). </w:t>
            </w:r>
            <w:proofErr w:type="spellStart"/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Nephrol</w:t>
            </w:r>
            <w:proofErr w:type="spellEnd"/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Dial </w:t>
            </w:r>
            <w:proofErr w:type="gramStart"/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Transplant</w:t>
            </w:r>
            <w:r w:rsidRPr="007F58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E40D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</w:t>
            </w:r>
            <w:proofErr w:type="gramEnd"/>
            <w:r w:rsidRPr="007F58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F58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2015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3 no. 30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7F58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pp. 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451–460.</w:t>
            </w:r>
          </w:p>
        </w:tc>
        <w:tc>
          <w:tcPr>
            <w:tcW w:w="1701" w:type="dxa"/>
          </w:tcPr>
          <w:p w:rsidR="0049685B" w:rsidRPr="007F58EA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sz w:val="28"/>
                <w:szCs w:val="28"/>
                <w:lang w:val="en-US"/>
              </w:rPr>
              <w:lastRenderedPageBreak/>
              <w:t>-----------</w:t>
            </w:r>
          </w:p>
        </w:tc>
        <w:tc>
          <w:tcPr>
            <w:tcW w:w="3402" w:type="dxa"/>
          </w:tcPr>
          <w:p w:rsidR="0049685B" w:rsidRPr="007F58EA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[</w:t>
            </w:r>
            <w:r w:rsidRPr="007F58EA">
              <w:rPr>
                <w:sz w:val="28"/>
                <w:szCs w:val="28"/>
                <w:lang w:val="en-US"/>
              </w:rPr>
              <w:t>10.1093/</w:t>
            </w:r>
            <w:proofErr w:type="spellStart"/>
            <w:r w:rsidRPr="007F58EA">
              <w:rPr>
                <w:sz w:val="28"/>
                <w:szCs w:val="28"/>
                <w:lang w:val="en-US"/>
              </w:rPr>
              <w:t>ndt</w:t>
            </w:r>
            <w:proofErr w:type="spellEnd"/>
            <w:r w:rsidRPr="007F58EA">
              <w:rPr>
                <w:sz w:val="28"/>
                <w:szCs w:val="28"/>
                <w:lang w:val="en-US"/>
              </w:rPr>
              <w:t>/gfu297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</w:t>
            </w:r>
          </w:p>
        </w:tc>
      </w:tr>
      <w:tr w:rsidR="0049685B" w:rsidRPr="00E32A39" w:rsidTr="0006796C">
        <w:trPr>
          <w:trHeight w:val="706"/>
        </w:trPr>
        <w:tc>
          <w:tcPr>
            <w:tcW w:w="1757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6" w:type="dxa"/>
            <w:gridSpan w:val="2"/>
          </w:tcPr>
          <w:p w:rsidR="0049685B" w:rsidRPr="006C7CB2" w:rsidRDefault="0049685B" w:rsidP="00E40D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Macdougall</w:t>
            </w:r>
            <w:proofErr w:type="spellEnd"/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I.C., Roger S.D., de Francisco A.,</w:t>
            </w:r>
            <w:r w:rsidR="00E40DD0" w:rsidRPr="003362A6">
              <w:rPr>
                <w:lang w:val="en-US"/>
              </w:rPr>
              <w:t xml:space="preserve"> </w:t>
            </w:r>
            <w:r w:rsidR="00E40DD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et al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 Antibody-mediated pure red cell aplasia in chronic kidney disease patients receiving erythropoiesis stimulating agents: new insights. Kidney Int</w:t>
            </w:r>
            <w:r w:rsidRPr="007F58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6C7C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,</w:t>
            </w:r>
            <w:r w:rsidRPr="007F58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7F58EA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8 no. 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81 </w:t>
            </w:r>
            <w:r w:rsidRPr="007F58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pp</w:t>
            </w:r>
            <w:r w:rsidRPr="006C7C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7F58E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727-732.</w:t>
            </w:r>
          </w:p>
        </w:tc>
        <w:tc>
          <w:tcPr>
            <w:tcW w:w="1701" w:type="dxa"/>
          </w:tcPr>
          <w:p w:rsidR="0049685B" w:rsidRPr="007F58EA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7F58EA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[</w:t>
            </w:r>
            <w:r w:rsidRPr="007F58EA">
              <w:rPr>
                <w:sz w:val="28"/>
                <w:szCs w:val="28"/>
                <w:lang w:val="en-US"/>
              </w:rPr>
              <w:t>10.1038/ki.2011.500</w:t>
            </w:r>
            <w:r w:rsidRPr="007F58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</w:t>
            </w:r>
          </w:p>
          <w:p w:rsidR="0049685B" w:rsidRPr="007F58EA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49685B">
              <w:rPr>
                <w:sz w:val="28"/>
                <w:szCs w:val="28"/>
                <w:lang w:val="en-US"/>
              </w:rPr>
              <w:t>10.1093/</w:t>
            </w:r>
            <w:proofErr w:type="spellStart"/>
            <w:r w:rsidRPr="0049685B">
              <w:rPr>
                <w:sz w:val="28"/>
                <w:szCs w:val="28"/>
                <w:lang w:val="en-US"/>
              </w:rPr>
              <w:t>ndt</w:t>
            </w:r>
            <w:proofErr w:type="spellEnd"/>
            <w:r w:rsidRPr="0049685B">
              <w:rPr>
                <w:sz w:val="28"/>
                <w:szCs w:val="28"/>
                <w:lang w:val="en-US"/>
              </w:rPr>
              <w:t>/gfu297</w:t>
            </w:r>
          </w:p>
        </w:tc>
      </w:tr>
      <w:tr w:rsidR="0049685B" w:rsidRPr="00E32A39" w:rsidTr="0006796C">
        <w:trPr>
          <w:trHeight w:val="706"/>
        </w:trPr>
        <w:tc>
          <w:tcPr>
            <w:tcW w:w="1757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6" w:type="dxa"/>
            <w:gridSpan w:val="2"/>
          </w:tcPr>
          <w:p w:rsidR="0049685B" w:rsidRPr="00C87574" w:rsidRDefault="0049685B" w:rsidP="004968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Nakane</w:t>
            </w:r>
            <w:proofErr w:type="spellEnd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P.K., </w:t>
            </w:r>
            <w:proofErr w:type="spellStart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Kawaoi</w:t>
            </w:r>
            <w:proofErr w:type="spellEnd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J. Peroxidase-labeled antibody. A new method of conjugation. </w:t>
            </w:r>
            <w:proofErr w:type="spellStart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Histochem</w:t>
            </w:r>
            <w:proofErr w:type="spellEnd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Cytochem</w:t>
            </w:r>
            <w:proofErr w:type="spellEnd"/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1974,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pp. 1084-1091.</w:t>
            </w:r>
          </w:p>
        </w:tc>
        <w:tc>
          <w:tcPr>
            <w:tcW w:w="1701" w:type="dxa"/>
          </w:tcPr>
          <w:p w:rsidR="0049685B" w:rsidRPr="00C87574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C8757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49685B" w:rsidRPr="00C87574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C87574">
              <w:rPr>
                <w:sz w:val="28"/>
                <w:szCs w:val="28"/>
                <w:lang w:val="en-US"/>
              </w:rPr>
              <w:t xml:space="preserve">    [10.1177/22.12.1084]</w:t>
            </w:r>
          </w:p>
        </w:tc>
      </w:tr>
      <w:tr w:rsidR="0049685B" w:rsidRPr="00E32A39" w:rsidTr="0006796C">
        <w:trPr>
          <w:trHeight w:val="706"/>
        </w:trPr>
        <w:tc>
          <w:tcPr>
            <w:tcW w:w="1757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6" w:type="dxa"/>
            <w:gridSpan w:val="2"/>
          </w:tcPr>
          <w:p w:rsidR="0049685B" w:rsidRPr="00AE2F94" w:rsidRDefault="0049685B" w:rsidP="004968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Savash</w:t>
            </w:r>
            <w:proofErr w:type="spellEnd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</w:t>
            </w:r>
            <w:proofErr w:type="spellStart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Alper</w:t>
            </w:r>
            <w:proofErr w:type="spellEnd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</w:t>
            </w:r>
            <w:proofErr w:type="spellStart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Vecihi</w:t>
            </w:r>
            <w:proofErr w:type="spellEnd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et al. </w:t>
            </w:r>
            <w:proofErr w:type="spellStart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Antierythropoietin</w:t>
            </w:r>
            <w:proofErr w:type="spellEnd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Antibodies in Hemodialysis Patients Treated with Recombinant Erythropoietin.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Turk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67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2014,</w:t>
            </w:r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 23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pp.125-130.</w:t>
            </w:r>
          </w:p>
        </w:tc>
        <w:tc>
          <w:tcPr>
            <w:tcW w:w="1701" w:type="dxa"/>
          </w:tcPr>
          <w:p w:rsidR="0049685B" w:rsidRPr="00AE2F94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8800C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49685B" w:rsidRPr="00AE2F94" w:rsidRDefault="003362A6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3362A6">
              <w:rPr>
                <w:sz w:val="28"/>
                <w:szCs w:val="28"/>
                <w:lang w:val="en-US"/>
              </w:rPr>
              <w:t>[10.5262/tndt.2014.1002.08]</w:t>
            </w:r>
          </w:p>
        </w:tc>
      </w:tr>
      <w:tr w:rsidR="0049685B" w:rsidRPr="008800C4" w:rsidTr="0006796C">
        <w:trPr>
          <w:trHeight w:val="706"/>
        </w:trPr>
        <w:tc>
          <w:tcPr>
            <w:tcW w:w="1757" w:type="dxa"/>
          </w:tcPr>
          <w:p w:rsidR="0049685B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6" w:type="dxa"/>
            <w:gridSpan w:val="2"/>
          </w:tcPr>
          <w:p w:rsidR="0049685B" w:rsidRPr="009F3D0F" w:rsidRDefault="0049685B" w:rsidP="004968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Seidl</w:t>
            </w:r>
            <w:proofErr w:type="spellEnd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Hainzl</w:t>
            </w:r>
            <w:proofErr w:type="spellEnd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Richter M. et al. Tungsten-induced denaturation and aggregation of </w:t>
            </w:r>
            <w:proofErr w:type="spellStart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epoetin</w:t>
            </w:r>
            <w:proofErr w:type="spellEnd"/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alfa during primary packaging as a cause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immunogenicity. Pharm Res.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2012, </w:t>
            </w:r>
            <w:r w:rsidRPr="004320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 w:rsidRPr="00C87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C87574">
              <w:rPr>
                <w:lang w:val="en-US"/>
              </w:rPr>
              <w:t xml:space="preserve"> </w:t>
            </w:r>
            <w:r w:rsidRPr="00E55F98">
              <w:rPr>
                <w:lang w:val="en-US"/>
              </w:rPr>
              <w:t xml:space="preserve"> </w:t>
            </w:r>
            <w:r w:rsidRPr="004320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proofErr w:type="gramEnd"/>
            <w:r w:rsidRPr="004320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87574">
              <w:rPr>
                <w:lang w:val="en-US"/>
              </w:rPr>
              <w:t xml:space="preserve">  </w:t>
            </w:r>
            <w:r w:rsidRPr="004320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</w:t>
            </w:r>
            <w:r w:rsidRPr="009F3D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1454-67.</w:t>
            </w:r>
          </w:p>
        </w:tc>
        <w:tc>
          <w:tcPr>
            <w:tcW w:w="1701" w:type="dxa"/>
          </w:tcPr>
          <w:p w:rsidR="0049685B" w:rsidRPr="009F3D0F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43206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49685B" w:rsidRPr="009F3D0F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432064">
              <w:rPr>
                <w:sz w:val="28"/>
                <w:szCs w:val="28"/>
                <w:lang w:val="en-US"/>
              </w:rPr>
              <w:t>[</w:t>
            </w:r>
            <w:r w:rsidRPr="009F3D0F">
              <w:rPr>
                <w:sz w:val="28"/>
                <w:szCs w:val="28"/>
                <w:lang w:val="en-US"/>
              </w:rPr>
              <w:t>10.1007/s11095-011-0621-4</w:t>
            </w:r>
            <w:r w:rsidRPr="00432064">
              <w:rPr>
                <w:sz w:val="28"/>
                <w:szCs w:val="28"/>
                <w:lang w:val="en-US"/>
              </w:rPr>
              <w:t>]</w:t>
            </w:r>
          </w:p>
        </w:tc>
      </w:tr>
      <w:tr w:rsidR="0049685B" w:rsidRPr="008800C4" w:rsidTr="0006796C">
        <w:trPr>
          <w:trHeight w:val="706"/>
        </w:trPr>
        <w:tc>
          <w:tcPr>
            <w:tcW w:w="1757" w:type="dxa"/>
          </w:tcPr>
          <w:p w:rsidR="0049685B" w:rsidRPr="008800C4" w:rsidRDefault="0049685B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6" w:type="dxa"/>
            <w:gridSpan w:val="2"/>
          </w:tcPr>
          <w:p w:rsidR="0049685B" w:rsidRPr="00AE2F94" w:rsidRDefault="0049685B" w:rsidP="004968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Shin S.K., Ha S.K., Lee KW. </w:t>
            </w:r>
            <w:proofErr w:type="gramStart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</w:t>
            </w:r>
            <w:proofErr w:type="gramEnd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al. Application of a bridging ELISA for detection of anti-erythropoietin binding antibodies and a cell-based bioassay for neutralizing antibodies in human sera. J Ph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arm Biomed Anal. 2010,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52 </w:t>
            </w:r>
            <w:r w:rsidRPr="00225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2593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proofErr w:type="gramEnd"/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0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289-93.</w:t>
            </w:r>
          </w:p>
        </w:tc>
        <w:tc>
          <w:tcPr>
            <w:tcW w:w="1701" w:type="dxa"/>
          </w:tcPr>
          <w:p w:rsidR="0049685B" w:rsidRPr="00AE2F94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8800C4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49685B" w:rsidRPr="00AE2F94" w:rsidRDefault="0049685B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8800C4">
              <w:rPr>
                <w:sz w:val="28"/>
                <w:szCs w:val="28"/>
                <w:lang w:val="en-US"/>
              </w:rPr>
              <w:t xml:space="preserve">    [10.1016/j.jpba.2010.01.022]</w:t>
            </w:r>
          </w:p>
        </w:tc>
      </w:tr>
      <w:tr w:rsidR="00E55F98" w:rsidRPr="00642617" w:rsidTr="0006796C">
        <w:trPr>
          <w:trHeight w:val="706"/>
        </w:trPr>
        <w:tc>
          <w:tcPr>
            <w:tcW w:w="1757" w:type="dxa"/>
          </w:tcPr>
          <w:p w:rsidR="00E55F98" w:rsidRDefault="00E55F98" w:rsidP="00496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6" w:type="dxa"/>
            <w:gridSpan w:val="2"/>
          </w:tcPr>
          <w:p w:rsidR="00E55F98" w:rsidRPr="008800C4" w:rsidRDefault="00642617" w:rsidP="00FF1A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Weeraratne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Kuck</w:t>
            </w:r>
            <w:proofErr w:type="spellEnd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A.J., </w:t>
            </w:r>
            <w:proofErr w:type="spellStart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Chirmule</w:t>
            </w:r>
            <w:proofErr w:type="spellEnd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Mytych</w:t>
            </w:r>
            <w:proofErr w:type="spellEnd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D.T.Measurement</w:t>
            </w:r>
            <w:proofErr w:type="spellEnd"/>
            <w:r w:rsidRPr="00642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anti-erythropoiesis-stimulating agent IgG4 antibody as an indicator of antibody-mediated pure red cell aplasia.</w:t>
            </w:r>
            <w:r w:rsidR="00FF1AC7" w:rsidRPr="00FF1AC7">
              <w:rPr>
                <w:lang w:val="en-US"/>
              </w:rPr>
              <w:t xml:space="preserve"> </w:t>
            </w:r>
            <w:proofErr w:type="spellStart"/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Vaccine </w:t>
            </w:r>
            <w:proofErr w:type="spellStart"/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2013</w:t>
            </w:r>
            <w:r w:rsidR="00FF1A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</w:t>
            </w:r>
            <w:r w:rsid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FF1AC7">
              <w:t xml:space="preserve"> </w:t>
            </w:r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</w:t>
            </w:r>
            <w:r w:rsid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</w:t>
            </w:r>
            <w:bookmarkStart w:id="0" w:name="_GoBack"/>
            <w:bookmarkEnd w:id="0"/>
            <w:r w:rsid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F1AC7" w:rsidRPr="00FF1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46-51.</w:t>
            </w:r>
          </w:p>
        </w:tc>
        <w:tc>
          <w:tcPr>
            <w:tcW w:w="1701" w:type="dxa"/>
          </w:tcPr>
          <w:p w:rsidR="00E55F98" w:rsidRPr="008800C4" w:rsidRDefault="00E55F98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E55F98"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3402" w:type="dxa"/>
          </w:tcPr>
          <w:p w:rsidR="00E55F98" w:rsidRPr="008800C4" w:rsidRDefault="00642617" w:rsidP="0049685B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8800C4">
              <w:rPr>
                <w:sz w:val="28"/>
                <w:szCs w:val="28"/>
                <w:lang w:val="en-US"/>
              </w:rPr>
              <w:t>[</w:t>
            </w:r>
            <w:r w:rsidRPr="00642617">
              <w:rPr>
                <w:sz w:val="28"/>
                <w:szCs w:val="28"/>
                <w:lang w:val="en-US"/>
              </w:rPr>
              <w:t>10.1128/CVI.00435-12]</w:t>
            </w:r>
          </w:p>
        </w:tc>
      </w:tr>
    </w:tbl>
    <w:p w:rsidR="006A328D" w:rsidRPr="007F58EA" w:rsidRDefault="006A328D" w:rsidP="007F58EA">
      <w:pPr>
        <w:spacing w:line="240" w:lineRule="auto"/>
        <w:rPr>
          <w:sz w:val="28"/>
          <w:szCs w:val="28"/>
          <w:lang w:val="en-US"/>
        </w:rPr>
      </w:pPr>
    </w:p>
    <w:sectPr w:rsidR="006A328D" w:rsidRPr="007F58EA" w:rsidSect="00A877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A6"/>
    <w:rsid w:val="00064946"/>
    <w:rsid w:val="0006796C"/>
    <w:rsid w:val="001069D3"/>
    <w:rsid w:val="001D13BF"/>
    <w:rsid w:val="00225939"/>
    <w:rsid w:val="00235A93"/>
    <w:rsid w:val="002820A6"/>
    <w:rsid w:val="002C5619"/>
    <w:rsid w:val="003362A6"/>
    <w:rsid w:val="003D5618"/>
    <w:rsid w:val="003E4144"/>
    <w:rsid w:val="004075C8"/>
    <w:rsid w:val="00414AED"/>
    <w:rsid w:val="00432064"/>
    <w:rsid w:val="0049685B"/>
    <w:rsid w:val="004A3E2B"/>
    <w:rsid w:val="00556C77"/>
    <w:rsid w:val="0059098C"/>
    <w:rsid w:val="005B0216"/>
    <w:rsid w:val="005E5E49"/>
    <w:rsid w:val="005F51C3"/>
    <w:rsid w:val="006121E6"/>
    <w:rsid w:val="00642617"/>
    <w:rsid w:val="00674A2B"/>
    <w:rsid w:val="00686FC5"/>
    <w:rsid w:val="006A328D"/>
    <w:rsid w:val="006B19FE"/>
    <w:rsid w:val="006C7CB2"/>
    <w:rsid w:val="00735E70"/>
    <w:rsid w:val="007B29E6"/>
    <w:rsid w:val="007F58EA"/>
    <w:rsid w:val="008800C4"/>
    <w:rsid w:val="008C1CF7"/>
    <w:rsid w:val="008E5CAD"/>
    <w:rsid w:val="00903448"/>
    <w:rsid w:val="009546F9"/>
    <w:rsid w:val="009A2585"/>
    <w:rsid w:val="009D6C82"/>
    <w:rsid w:val="009F3D0F"/>
    <w:rsid w:val="009F4F1B"/>
    <w:rsid w:val="00A87725"/>
    <w:rsid w:val="00A97117"/>
    <w:rsid w:val="00AD1169"/>
    <w:rsid w:val="00AE2F94"/>
    <w:rsid w:val="00B208A4"/>
    <w:rsid w:val="00B47C22"/>
    <w:rsid w:val="00B622AA"/>
    <w:rsid w:val="00B66A56"/>
    <w:rsid w:val="00BA7CAC"/>
    <w:rsid w:val="00BC5828"/>
    <w:rsid w:val="00BD75CD"/>
    <w:rsid w:val="00C16214"/>
    <w:rsid w:val="00C87574"/>
    <w:rsid w:val="00C95D9D"/>
    <w:rsid w:val="00DE263D"/>
    <w:rsid w:val="00E32A39"/>
    <w:rsid w:val="00E40DD0"/>
    <w:rsid w:val="00E55F98"/>
    <w:rsid w:val="00E57F2A"/>
    <w:rsid w:val="00E95F8C"/>
    <w:rsid w:val="00F30907"/>
    <w:rsid w:val="00F73243"/>
    <w:rsid w:val="00F946BF"/>
    <w:rsid w:val="00FB5F3B"/>
    <w:rsid w:val="00FB6119"/>
    <w:rsid w:val="00FF0204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84BAB-361E-4AD7-BFC2-9EFE84A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04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204"/>
    <w:pPr>
      <w:spacing w:after="160" w:line="256" w:lineRule="auto"/>
      <w:ind w:left="708"/>
    </w:pPr>
  </w:style>
  <w:style w:type="character" w:styleId="a4">
    <w:name w:val="Hyperlink"/>
    <w:basedOn w:val="a0"/>
    <w:uiPriority w:val="99"/>
    <w:semiHidden/>
    <w:unhideWhenUsed/>
    <w:rsid w:val="004A3E2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546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46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96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B2C7-240C-4CEE-99AF-502C74B9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Кудряшова</dc:creator>
  <cp:keywords/>
  <dc:description/>
  <cp:lastModifiedBy>Александра Кудряшова</cp:lastModifiedBy>
  <cp:revision>32</cp:revision>
  <cp:lastPrinted>2019-09-20T11:37:00Z</cp:lastPrinted>
  <dcterms:created xsi:type="dcterms:W3CDTF">2018-02-22T10:46:00Z</dcterms:created>
  <dcterms:modified xsi:type="dcterms:W3CDTF">2019-10-09T10:47:00Z</dcterms:modified>
</cp:coreProperties>
</file>