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054"/>
        <w:gridCol w:w="1648"/>
        <w:gridCol w:w="6142"/>
      </w:tblGrid>
      <w:tr w:rsidR="004573A4" w:rsidRPr="00F1627E" w:rsidTr="004573A4">
        <w:tc>
          <w:tcPr>
            <w:tcW w:w="1716" w:type="dxa"/>
          </w:tcPr>
          <w:p w:rsidR="00F1627E" w:rsidRPr="00F1627E" w:rsidRDefault="00F1627E" w:rsidP="00F1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5054" w:type="dxa"/>
          </w:tcPr>
          <w:p w:rsidR="00F1627E" w:rsidRPr="00F1627E" w:rsidRDefault="00F1627E" w:rsidP="00F162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7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648" w:type="dxa"/>
          </w:tcPr>
          <w:p w:rsidR="00F1627E" w:rsidRPr="00F1627E" w:rsidRDefault="00F1627E" w:rsidP="00F162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7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ФИО, название публикации и источника на английском</w:t>
            </w:r>
          </w:p>
        </w:tc>
        <w:tc>
          <w:tcPr>
            <w:tcW w:w="6142" w:type="dxa"/>
          </w:tcPr>
          <w:p w:rsidR="00F1627E" w:rsidRPr="00F1627E" w:rsidRDefault="00F1627E" w:rsidP="00F162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7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Полный интернет-адрес (URL) цитируемой статьи или ее </w:t>
            </w:r>
            <w:proofErr w:type="spellStart"/>
            <w:r w:rsidRPr="00F1627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F1627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573A4" w:rsidRPr="00F1627E" w:rsidTr="004573A4">
        <w:tc>
          <w:tcPr>
            <w:tcW w:w="1716" w:type="dxa"/>
          </w:tcPr>
          <w:p w:rsidR="00F1627E" w:rsidRPr="00F1627E" w:rsidRDefault="00543582" w:rsidP="00F1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:rsidR="00F1627E" w:rsidRPr="00DD66BC" w:rsidRDefault="00F1627E" w:rsidP="00DD6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Abubakar I, Pimpin L, Ariti C, </w:t>
            </w:r>
            <w:proofErr w:type="spellStart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Beynon</w:t>
            </w:r>
            <w:proofErr w:type="spellEnd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Mangtani</w:t>
            </w:r>
            <w:proofErr w:type="spellEnd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Sterne JA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Fine PE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Smith PG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Lipman</w:t>
            </w:r>
            <w:proofErr w:type="spellEnd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Elliman</w:t>
            </w:r>
            <w:proofErr w:type="spellEnd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Watson JM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Drumright LN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Whiting PF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Vynnycky</w:t>
            </w:r>
            <w:proofErr w:type="spellEnd"/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16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Rodrigues LC</w:t>
            </w:r>
            <w:r w:rsidRPr="00F16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Systematic review and meta-analysis of the current evidence on the duration of protection by bacillus Calmette-Guérin vaccination against tuberculosis.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Health Technol Assess (Rockv)</w:t>
            </w:r>
            <w:r w:rsidR="00DD66B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="00DD66BC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 2013</w:t>
            </w:r>
            <w:r w:rsidR="00DD66B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</w:t>
            </w:r>
            <w:r w:rsidR="00DD66BC" w:rsidRPr="00DD66B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="00DD66BC"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17</w:t>
            </w:r>
            <w:r w:rsid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no. </w:t>
            </w:r>
            <w:r w:rsidR="00DD66BC"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37</w:t>
            </w:r>
            <w:r w:rsid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pp. </w:t>
            </w:r>
            <w:r w:rsidR="00DD66BC"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1-372</w:t>
            </w:r>
          </w:p>
        </w:tc>
        <w:tc>
          <w:tcPr>
            <w:tcW w:w="1648" w:type="dxa"/>
          </w:tcPr>
          <w:p w:rsidR="00F1627E" w:rsidRPr="00F1627E" w:rsidRDefault="00DD66BC" w:rsidP="00F162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F1627E" w:rsidRPr="00F1627E" w:rsidRDefault="00DD66BC" w:rsidP="00DD66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doi:10.3310/hta17370</w:t>
            </w:r>
          </w:p>
        </w:tc>
      </w:tr>
      <w:tr w:rsidR="004573A4" w:rsidRPr="00F1627E" w:rsidTr="004573A4">
        <w:tc>
          <w:tcPr>
            <w:tcW w:w="1716" w:type="dxa"/>
          </w:tcPr>
          <w:p w:rsidR="00EB6033" w:rsidRDefault="00EB6033" w:rsidP="00F16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054" w:type="dxa"/>
          </w:tcPr>
          <w:p w:rsidR="00EB6033" w:rsidRPr="00E9379C" w:rsidRDefault="00EB6033" w:rsidP="00EB603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Alm JS, Sanjeevi CB, Miller </w:t>
            </w:r>
            <w:proofErr w:type="gramStart"/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EN</w:t>
            </w:r>
            <w:r w:rsidRPr="00EB603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Dabadghao</w:t>
            </w:r>
            <w:proofErr w:type="spellEnd"/>
            <w:proofErr w:type="gramEnd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Lilja</w:t>
            </w:r>
            <w:proofErr w:type="spellEnd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</w:t>
            </w:r>
            <w:r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Pershagen</w:t>
            </w:r>
            <w:proofErr w:type="spellEnd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</w:t>
            </w:r>
            <w:r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Blackwell JM</w:t>
            </w:r>
            <w:r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Scheynius</w:t>
            </w:r>
            <w:proofErr w:type="spellEnd"/>
            <w:r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Pr="00EB603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Atopy in children in relation to BCG vaccination and genetic polymorphisms at SLC11A1 (formerly NRAMP1) and D2S1471.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Genes Immun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71-77. </w:t>
            </w:r>
          </w:p>
        </w:tc>
        <w:tc>
          <w:tcPr>
            <w:tcW w:w="1648" w:type="dxa"/>
          </w:tcPr>
          <w:p w:rsidR="00EB6033" w:rsidRDefault="00EB6033" w:rsidP="00F162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EB6033" w:rsidRPr="00E9379C" w:rsidRDefault="00EB6033" w:rsidP="00F1627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doi:10.1038/sj.gene.6363834</w:t>
            </w:r>
          </w:p>
        </w:tc>
      </w:tr>
      <w:tr w:rsidR="004573A4" w:rsidRPr="00F1627E" w:rsidTr="004573A4">
        <w:tc>
          <w:tcPr>
            <w:tcW w:w="1716" w:type="dxa"/>
          </w:tcPr>
          <w:p w:rsidR="00F1627E" w:rsidRPr="00543582" w:rsidRDefault="00543582" w:rsidP="00F1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4" w:type="dxa"/>
          </w:tcPr>
          <w:p w:rsidR="00F1627E" w:rsidRPr="00F1627E" w:rsidRDefault="00DD66BC" w:rsidP="00DD6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Arts RJW, Blok BA, Aaby </w:t>
            </w:r>
            <w:proofErr w:type="gramStart"/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P, </w:t>
            </w:r>
            <w:r w:rsidRPr="00DD66B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proofErr w:type="gramEnd"/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 Jong D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Meer JW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Benn CS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Long-term in vitro and in vivo effects of </w:t>
            </w:r>
            <w:r w:rsidRPr="004B074D">
              <w:rPr>
                <w:rFonts w:ascii="Times New Roman" w:hAnsi="Times New Roman" w:cs="Times New Roman"/>
                <w:noProof/>
                <w:sz w:val="28"/>
                <w:szCs w:val="24"/>
              </w:rPr>
              <w:t>γ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-irradiated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lastRenderedPageBreak/>
              <w:t xml:space="preserve">BCG on innate and adaptive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Leukoc Biol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98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995-1001. </w:t>
            </w:r>
          </w:p>
        </w:tc>
        <w:tc>
          <w:tcPr>
            <w:tcW w:w="1648" w:type="dxa"/>
          </w:tcPr>
          <w:p w:rsidR="00F1627E" w:rsidRPr="00F1627E" w:rsidRDefault="00DD66BC" w:rsidP="00F162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F1627E" w:rsidRPr="00F1627E" w:rsidRDefault="00DD66BC" w:rsidP="00F162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doi:10.1189/jlb.4MA0215-059R</w:t>
            </w:r>
          </w:p>
        </w:tc>
      </w:tr>
      <w:tr w:rsidR="004573A4" w:rsidRPr="00F1627E" w:rsidTr="004573A4">
        <w:tc>
          <w:tcPr>
            <w:tcW w:w="1716" w:type="dxa"/>
          </w:tcPr>
          <w:p w:rsidR="00DD66BC" w:rsidRPr="00543582" w:rsidRDefault="00543582" w:rsidP="00D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54" w:type="dxa"/>
          </w:tcPr>
          <w:p w:rsidR="00DD66BC" w:rsidRPr="00F1627E" w:rsidRDefault="003C4F82" w:rsidP="00EB60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Arts RJW, Carvalho A, La Rocca C, 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Palma C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Rodrigues F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Silvestre R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Kleinnijenhuis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Lachmandas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Gonçalves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LG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Belinha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Cunha C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Oosting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LAB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Matarese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Immunometabolic Pathways in BCG-Induced Trained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Cell Rep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2562-2571. </w:t>
            </w:r>
          </w:p>
        </w:tc>
        <w:tc>
          <w:tcPr>
            <w:tcW w:w="1648" w:type="dxa"/>
          </w:tcPr>
          <w:p w:rsidR="00DD66BC" w:rsidRPr="00F1627E" w:rsidRDefault="003C4F82" w:rsidP="00DD6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DD66BC" w:rsidRPr="00F1627E" w:rsidRDefault="003C4F82" w:rsidP="00DD6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doi:10.1016/j.celrep.2016.11.011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4" w:type="dxa"/>
          </w:tcPr>
          <w:p w:rsidR="003C4F82" w:rsidRPr="00E9379C" w:rsidRDefault="003C4F82" w:rsidP="00EB603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Arts RJW, Moorlag SJCFM, Novakovic B</w:t>
            </w:r>
            <w:r w:rsidRPr="00EB603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Li Y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Wang SY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Oosting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Kumar V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RJ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Wijmenga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LAB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Reusken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CBEM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Benn CS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Aaby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Koopmans MP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Stunnenberg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HG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="00EB6033" w:rsidRPr="00EB6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="00EB6033" w:rsidRPr="00EB6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B603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BCG Vaccination Protects against Experimental Viral Infection in Humans through the Induction of Cytokines Associated with Trained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Cell Host Microbe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89-100.e5. </w:t>
            </w:r>
          </w:p>
        </w:tc>
        <w:tc>
          <w:tcPr>
            <w:tcW w:w="1648" w:type="dxa"/>
          </w:tcPr>
          <w:p w:rsidR="003C4F82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E9379C" w:rsidRDefault="003C4F82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doi:10.1016/J.CHOM.2017.12.010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4" w:type="dxa"/>
          </w:tcPr>
          <w:p w:rsidR="003C4F82" w:rsidRPr="00F1627E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Arts RJW, Novakovic B, ter Horst R, 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Carvalho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Bekkering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Lachmandas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Rodrigues F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Silvestre R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Cheng SC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Wang SY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Habibi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Gonçalves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LG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Mesquita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I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Cunha C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Laarhoven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de 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Veerdonk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FL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Williams DL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der Meer JW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Logie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O'Neill LA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Dinarello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Riksen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NP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Clish C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Notebaart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Stunnenberg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HG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RJ</w:t>
            </w:r>
            <w:r w:rsidRPr="003C4F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3C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Glutaminolysis and Fumarate Accumulation Integrate Immunometabolic and Epigenetic Programs in Trained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Cell Metab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807-819. </w:t>
            </w:r>
          </w:p>
        </w:tc>
        <w:tc>
          <w:tcPr>
            <w:tcW w:w="1648" w:type="dxa"/>
          </w:tcPr>
          <w:p w:rsidR="003C4F82" w:rsidRPr="00F1627E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3C4F82" w:rsidRPr="00F1627E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doi:10.1016/j.cmet.2016.10.008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54" w:type="dxa"/>
          </w:tcPr>
          <w:p w:rsidR="003C4F82" w:rsidRPr="00F1627E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Auguste P, Tsertsvadze A, Pink J</w:t>
            </w:r>
            <w:r w:rsidRPr="00DD66B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Court R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McCarthy N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Sutcliffe P</w:t>
            </w:r>
            <w:r w:rsidRPr="00DD66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D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Clarke A</w:t>
            </w:r>
            <w:r w:rsidRPr="00DD66B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Comparing interferon-gamma release assays with tuberculin skin test for identifying latent tuberculosis infection that progresses to active tuberculosis: systematic review and meta-analysis.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BMC Infect Dis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200. </w:t>
            </w:r>
          </w:p>
        </w:tc>
        <w:tc>
          <w:tcPr>
            <w:tcW w:w="1648" w:type="dxa"/>
          </w:tcPr>
          <w:p w:rsidR="003C4F82" w:rsidRPr="00F1627E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3C4F82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doi:10.1186/s12879-017-2301-4</w:t>
            </w:r>
          </w:p>
        </w:tc>
      </w:tr>
      <w:tr w:rsidR="004573A4" w:rsidRPr="00F1627E" w:rsidTr="004573A4">
        <w:tc>
          <w:tcPr>
            <w:tcW w:w="1716" w:type="dxa"/>
          </w:tcPr>
          <w:p w:rsidR="00933E8A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4" w:type="dxa"/>
          </w:tcPr>
          <w:p w:rsidR="00933E8A" w:rsidRPr="00E9379C" w:rsidRDefault="00933E8A" w:rsidP="00F5443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Barlan IB, Tükenmez F, Bahçeciler NN, Başaran MM. The impact of in vivo Calmette-Guérin Bacillus administration on in vitro IgE secretion in atopic children.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Asthma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239-246. </w:t>
            </w:r>
          </w:p>
        </w:tc>
        <w:tc>
          <w:tcPr>
            <w:tcW w:w="1648" w:type="dxa"/>
          </w:tcPr>
          <w:p w:rsidR="00933E8A" w:rsidRPr="00933E8A" w:rsidRDefault="00F5443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F54434" w:rsidRPr="00F54434" w:rsidRDefault="00F54434" w:rsidP="00F5443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DOI:</w:t>
            </w:r>
            <w:r w:rsidRPr="00F544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5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10.1081/jas-120002473</w:t>
            </w:r>
          </w:p>
          <w:p w:rsidR="00933E8A" w:rsidRPr="00E9379C" w:rsidRDefault="00933E8A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4" w:type="dxa"/>
          </w:tcPr>
          <w:p w:rsidR="003C4F82" w:rsidRPr="00F1627E" w:rsidRDefault="00AF0A00" w:rsidP="00AF0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Bekkering S, Arts RJW, Novakovic B, et al. Metabolic Induction of Trained Immunity through the Mevalonate Pathway.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Cell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172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1-2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135-146.e9. </w:t>
            </w:r>
          </w:p>
        </w:tc>
        <w:tc>
          <w:tcPr>
            <w:tcW w:w="1648" w:type="dxa"/>
          </w:tcPr>
          <w:p w:rsidR="003C4F82" w:rsidRPr="00AF0A00" w:rsidRDefault="00AF0A00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2" w:type="dxa"/>
          </w:tcPr>
          <w:p w:rsidR="003C4F82" w:rsidRPr="00F1627E" w:rsidRDefault="00AF0A00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doi:10.1016/j.cell.2017.11.025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4" w:type="dxa"/>
          </w:tcPr>
          <w:p w:rsidR="003C4F82" w:rsidRPr="00F1627E" w:rsidRDefault="00933E8A" w:rsidP="00933E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Blok BA, Arts RJW, van Crevel R, Benn CS, Netea MG. Trained innate immunity as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lastRenderedPageBreak/>
              <w:t xml:space="preserve">underlying mechanism for the long-term, nonspecific effects of vaccines.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Leukoc Biol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98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347-356. </w:t>
            </w:r>
          </w:p>
        </w:tc>
        <w:tc>
          <w:tcPr>
            <w:tcW w:w="1648" w:type="dxa"/>
          </w:tcPr>
          <w:p w:rsidR="003C4F82" w:rsidRPr="00F1627E" w:rsidRDefault="00933E8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3C4F82" w:rsidRPr="00F1627E" w:rsidRDefault="00933E8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doi:10.1189/jlb.5RI0315-096R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054" w:type="dxa"/>
          </w:tcPr>
          <w:p w:rsidR="003C4F82" w:rsidRPr="00933E8A" w:rsidRDefault="00933E8A" w:rsidP="00933E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E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Buffen K, Oosting M, Quintin J, 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Ng A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Kleinnijenhuis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Kumar V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de 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Vosse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Wijmenga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Oosterwijk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Grotenhuis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AJ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Vermeulen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SH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Kiemeney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de 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Veerdonk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FL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Chamilos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Meer JW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933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933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933E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. Autophagy controls BCG-induced trained immunity and the response to intravesical BCG therapy for bladder cancer. Deretic V, ed. </w:t>
            </w:r>
            <w:r w:rsidRPr="00933E8A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PLoS Pathog</w:t>
            </w:r>
            <w:r w:rsidRPr="00933E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., 2014, Vol.10, no.10, pp.e1004485. </w:t>
            </w:r>
          </w:p>
        </w:tc>
        <w:tc>
          <w:tcPr>
            <w:tcW w:w="1648" w:type="dxa"/>
          </w:tcPr>
          <w:p w:rsidR="003C4F82" w:rsidRPr="00F1627E" w:rsidRDefault="00933E8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933E8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doi:10.1371/journal.ppat.1004485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4" w:type="dxa"/>
          </w:tcPr>
          <w:p w:rsidR="003C4F82" w:rsidRPr="00F1627E" w:rsidRDefault="00F54434" w:rsidP="00F544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Byrne AL, Marais BJ, Mi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tnick CD,</w:t>
            </w:r>
            <w:r w:rsidRPr="00F5443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Garden FL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Lecca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Contreras C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Yauri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Y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Garcia F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Marks GB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Asthma and atopy prevalence are not reduced among former tuberculosis patients compared with controls in Lima, Peru.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BMC Pulm Med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40. </w:t>
            </w:r>
          </w:p>
        </w:tc>
        <w:tc>
          <w:tcPr>
            <w:tcW w:w="1648" w:type="dxa"/>
          </w:tcPr>
          <w:p w:rsidR="003C4F82" w:rsidRPr="00F1627E" w:rsidRDefault="00F5443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F5443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doi:10.1186/s12890-019-0804-z</w:t>
            </w:r>
          </w:p>
        </w:tc>
      </w:tr>
      <w:tr w:rsidR="004573A4" w:rsidRPr="00F1627E" w:rsidTr="004573A4">
        <w:tc>
          <w:tcPr>
            <w:tcW w:w="1716" w:type="dxa"/>
          </w:tcPr>
          <w:p w:rsidR="00E37D38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054" w:type="dxa"/>
          </w:tcPr>
          <w:p w:rsidR="00E37D38" w:rsidRPr="00E9379C" w:rsidRDefault="00E37D38" w:rsidP="00E37D3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Cavallo GP, Elia M, Giordano D, Baldi C, Cammarota R. Decrease of specific and total IgE levels in allergic patients after BCG vaccination: preliminary report.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Arch Otolaryngol Head Neck Surg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128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1058-1060. </w:t>
            </w:r>
          </w:p>
        </w:tc>
        <w:tc>
          <w:tcPr>
            <w:tcW w:w="1648" w:type="dxa"/>
          </w:tcPr>
          <w:p w:rsidR="00E37D38" w:rsidRDefault="00E37D38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E37D38" w:rsidRPr="00E9379C" w:rsidRDefault="00E37D38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doi:10.1001/archotol.128.9.1058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054" w:type="dxa"/>
          </w:tcPr>
          <w:p w:rsidR="003C4F82" w:rsidRPr="00F1627E" w:rsidRDefault="00F54434" w:rsidP="00E37D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heng S-C, Quintin J, Cramer RA,</w:t>
            </w:r>
            <w:r w:rsidRPr="00F5443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Shepardson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KM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Saeed S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Kumar V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Giamarellos-Bourboulis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EJ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Martens</w:t>
            </w:r>
            <w:r w:rsid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JH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Rao 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Aghajanirefah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Manjeri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GR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Li Y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Ifrim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DC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Arts RJ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Veer BM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Deen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PM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Logie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O'Neill LA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Willems P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de 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Veerdonk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FL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Meer JW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Ng A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Wijmenga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Stunnenberg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HG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RJ</w:t>
            </w:r>
            <w:r w:rsidRPr="00F54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F54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mTOR- and HIF-1 -mediated aerobic glycolysis as metabolic basis for trained immunity. </w: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6204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1250684-1250684. </w:t>
            </w:r>
          </w:p>
        </w:tc>
        <w:tc>
          <w:tcPr>
            <w:tcW w:w="1648" w:type="dxa"/>
          </w:tcPr>
          <w:p w:rsidR="003C4F82" w:rsidRPr="00F1627E" w:rsidRDefault="00F5443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F5443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doi:10.1126/science.1250684</w:t>
            </w:r>
          </w:p>
        </w:tc>
      </w:tr>
      <w:tr w:rsidR="004573A4" w:rsidRPr="00543582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4" w:type="dxa"/>
          </w:tcPr>
          <w:p w:rsidR="00E37D38" w:rsidRDefault="00E37D38" w:rsidP="00E37D3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Coley WB. The treatment of malignant tumors by repeated inoculations of erysipelas. With a report of ten original cases. 1893.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Clin Orthop Relat Res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1991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262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3-11.</w:t>
            </w:r>
          </w:p>
          <w:p w:rsidR="003C4F82" w:rsidRPr="00F1627E" w:rsidRDefault="00E37D38" w:rsidP="00E37D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1648" w:type="dxa"/>
          </w:tcPr>
          <w:p w:rsidR="003C4F82" w:rsidRPr="00F1627E" w:rsidRDefault="00E37D38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687161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E37D38" w:rsidRPr="00E37D38">
                <w:rPr>
                  <w:rStyle w:val="a5"/>
                  <w:lang w:val="en-US"/>
                </w:rPr>
                <w:t>http://ovidsp.dc2.ovid.com/sp-4.02.1a/ovidweb.cgi?T=JS&amp;PAGE=fulltext&amp;D=ovft&amp;AN=00003086-199101000-00002&amp;NEWS=N&amp;CSC=Y&amp;CHANNEL=PubMed</w:t>
              </w:r>
            </w:hyperlink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054" w:type="dxa"/>
          </w:tcPr>
          <w:p w:rsidR="003C4F82" w:rsidRPr="00F1627E" w:rsidRDefault="00E37D38" w:rsidP="00B578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Deng Y, Li W, Luo Y, </w:t>
            </w:r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Wang LJ</w:t>
            </w:r>
            <w:r w:rsidRPr="00E37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Xie</w:t>
            </w:r>
            <w:proofErr w:type="spellEnd"/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XH</w:t>
            </w:r>
            <w:r w:rsidRPr="00E37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Luo J</w:t>
            </w:r>
            <w:r w:rsidRPr="00E37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Luo ZX</w:t>
            </w:r>
            <w:r w:rsidRPr="00E37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Zhao XD</w:t>
            </w:r>
            <w:r w:rsidRPr="00E37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Fu Z</w:t>
            </w:r>
            <w:r w:rsidRPr="00E37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37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Liu EM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 Inhibition of IFN-</w:t>
            </w:r>
            <w:r w:rsidRPr="004B074D">
              <w:rPr>
                <w:rFonts w:ascii="Times New Roman" w:hAnsi="Times New Roman" w:cs="Times New Roman"/>
                <w:noProof/>
                <w:sz w:val="28"/>
                <w:szCs w:val="24"/>
              </w:rPr>
              <w:t>γ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promotes anti-asthma effect of Mycobacterium bovis Bacillus Calmette-Guerin neonatal vaccination: A murine asthma model.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Vaccine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2070-2078. </w:t>
            </w:r>
          </w:p>
        </w:tc>
        <w:tc>
          <w:tcPr>
            <w:tcW w:w="1648" w:type="dxa"/>
          </w:tcPr>
          <w:p w:rsidR="003C4F82" w:rsidRPr="00F1627E" w:rsidRDefault="00E37D38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E37D38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doi:10.1016/j.vaccine.2014.02.007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054" w:type="dxa"/>
          </w:tcPr>
          <w:p w:rsidR="003C4F82" w:rsidRPr="00F1627E" w:rsidRDefault="00B5782B" w:rsidP="00B578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Domínguez-Andrés J, Joosten LA, Netea MG. Induction of innate immune memory: the role of cellular metabolism.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Curr Opin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10-16. </w:t>
            </w:r>
          </w:p>
        </w:tc>
        <w:tc>
          <w:tcPr>
            <w:tcW w:w="1648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doi:10.1016/J.COI.2018.09.001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054" w:type="dxa"/>
          </w:tcPr>
          <w:p w:rsidR="003C4F82" w:rsidRPr="00F1627E" w:rsidRDefault="00B5782B" w:rsidP="00B578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Eifan AO, Akkoc T, Ozdemir C, Bahceciler NN, Barlan IB. No association between tuberculin skin test and atopy in a bacillus Calmette-Guérin vaccinated birth cohort.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Pediatr Allergy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545-550. </w:t>
            </w:r>
          </w:p>
        </w:tc>
        <w:tc>
          <w:tcPr>
            <w:tcW w:w="1648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doi:10.1111/j.1399-3038.2008.00846.x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054" w:type="dxa"/>
          </w:tcPr>
          <w:p w:rsidR="003C4F82" w:rsidRPr="00F1627E" w:rsidRDefault="00B5782B" w:rsidP="00B578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El-Zein M, Conus F, Benedetti A, Menzies D, Parent M-E, Rousseau M-C. Association Between Bacillus Calmette-Guérin Vaccination and Childhood Asthma in the Quebec Birth Cohort on Immunity and Health.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Am J Epidemiol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186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, pp.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344-355. </w:t>
            </w:r>
          </w:p>
        </w:tc>
        <w:tc>
          <w:tcPr>
            <w:tcW w:w="1648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doi:10.1093/aje/kwx088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543582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54" w:type="dxa"/>
          </w:tcPr>
          <w:p w:rsidR="003C4F82" w:rsidRPr="00F1627E" w:rsidRDefault="00B5782B" w:rsidP="00B578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Freyne B, Donath S, Germano S,</w:t>
            </w:r>
            <w:r w:rsidRPr="00B5782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Gardiner K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Casalaz</w:t>
            </w:r>
            <w:proofErr w:type="spellEnd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Robins-Browne RM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Amenyogbe</w:t>
            </w:r>
            <w:proofErr w:type="spellEnd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N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MessinaNL</w:t>
            </w:r>
            <w:proofErr w:type="spellEnd"/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Flanagan KL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Kollmann</w:t>
            </w:r>
            <w:proofErr w:type="spellEnd"/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</w:t>
            </w:r>
            <w:r w:rsidRPr="00B57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57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Curtis N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Neonatal BCG Vaccination Influences Cytokine Responses to Toll-like Receptor Ligands and Heterologous Antigens.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Infect Dis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1798-1808. </w:t>
            </w:r>
          </w:p>
        </w:tc>
        <w:tc>
          <w:tcPr>
            <w:tcW w:w="1648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5782B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doi:10.1093/infdis/jiy069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260ED6" w:rsidP="0054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43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:rsidR="003C4F82" w:rsidRPr="00F1627E" w:rsidRDefault="00260ED6" w:rsidP="00260E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Gruenbacher G, Thurnher M. Mevalonate Metabolism in Cancer Stemness and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lastRenderedPageBreak/>
              <w:t xml:space="preserve">Trained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Front Oncol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, Vol.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394. </w:t>
            </w:r>
          </w:p>
        </w:tc>
        <w:tc>
          <w:tcPr>
            <w:tcW w:w="1648" w:type="dxa"/>
          </w:tcPr>
          <w:p w:rsidR="003C4F82" w:rsidRPr="00F1627E" w:rsidRDefault="00260ED6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3C4F82" w:rsidRPr="00F1627E" w:rsidRDefault="00260ED6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doi:10.3389/fonc.2018.00394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543582" w:rsidRDefault="00260ED6" w:rsidP="0054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543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</w:tcPr>
          <w:p w:rsidR="003C4F82" w:rsidRPr="00F1627E" w:rsidRDefault="00260ED6" w:rsidP="00260E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Guerra-Maupome M, Vang DX, McGill JL. Aerosol vaccination with Bacille Calmette-Guerin induces a trained innate immune phenotype in calves.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PLoS One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no.2,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e0212751. </w:t>
            </w:r>
          </w:p>
        </w:tc>
        <w:tc>
          <w:tcPr>
            <w:tcW w:w="1648" w:type="dxa"/>
          </w:tcPr>
          <w:p w:rsidR="003C4F82" w:rsidRPr="00F1627E" w:rsidRDefault="00260ED6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260ED6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doi:10.1371/journal.pone.0212751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543582" w:rsidP="00543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054" w:type="dxa"/>
          </w:tcPr>
          <w:p w:rsidR="003C4F82" w:rsidRPr="00F1627E" w:rsidRDefault="00260ED6" w:rsidP="00260E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Higgins JPT, Soares-Weiser K, López-López JA, </w:t>
            </w:r>
            <w:proofErr w:type="spellStart"/>
            <w:r w:rsidRPr="00260E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Kakourou</w:t>
            </w:r>
            <w:proofErr w:type="spellEnd"/>
            <w:r w:rsidRPr="00260E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Chaplin K, Christensen H, Martin NK, Sterne JA, </w:t>
            </w:r>
            <w:proofErr w:type="spellStart"/>
            <w:r w:rsidRPr="00260E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Reingold</w:t>
            </w:r>
            <w:proofErr w:type="spellEnd"/>
            <w:r w:rsidRPr="00260E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Association of BCG, DTP, and measles containing vaccines with childhood mortality: systematic review.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BMJ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355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i5170. </w:t>
            </w:r>
          </w:p>
        </w:tc>
        <w:tc>
          <w:tcPr>
            <w:tcW w:w="1648" w:type="dxa"/>
          </w:tcPr>
          <w:p w:rsidR="003C4F82" w:rsidRPr="00F1627E" w:rsidRDefault="00260ED6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260ED6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doi:10.1136/bmj.i5170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4" w:type="dxa"/>
          </w:tcPr>
          <w:p w:rsidR="003C4F82" w:rsidRPr="00F1627E" w:rsidRDefault="00E209E9" w:rsidP="00E209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Hirve S, Bavdekar A, Juvekar S, Benn CS, Nielsen J, Aaby P. Non-specific and sex-differential effects of vaccinations on child survival in rural western India. </w:t>
            </w:r>
            <w:r w:rsidRPr="00A87007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Vaccine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A87007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A87007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A87007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A87007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7300-7308. </w:t>
            </w:r>
          </w:p>
        </w:tc>
        <w:tc>
          <w:tcPr>
            <w:tcW w:w="1648" w:type="dxa"/>
          </w:tcPr>
          <w:p w:rsidR="003C4F82" w:rsidRPr="00F1627E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007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doi:10.1016/J.VACCINE.2012.09.035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054" w:type="dxa"/>
          </w:tcPr>
          <w:p w:rsidR="003C4F82" w:rsidRPr="00F1627E" w:rsidRDefault="00E209E9" w:rsidP="00E209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Jensen KJ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Larsen N, Biering-Sørensen S,</w:t>
            </w:r>
            <w:r w:rsidRPr="00E209E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Andersen A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Eriksen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HB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Monteiro I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Hougaard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Aaby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Flanagan KL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Benn CS</w:t>
            </w:r>
            <w:r w:rsidRPr="00E209E9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Heterologous immunological effects of early BCG vaccination in low-birth-weight infants in Guinea-Bissau: a randomized-controlled trial.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Infect Dis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211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956-967. </w:t>
            </w:r>
          </w:p>
        </w:tc>
        <w:tc>
          <w:tcPr>
            <w:tcW w:w="1648" w:type="dxa"/>
          </w:tcPr>
          <w:p w:rsidR="003C4F82" w:rsidRPr="00F1627E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doi:10.1093/infdis/jiu508</w:t>
            </w:r>
          </w:p>
        </w:tc>
      </w:tr>
      <w:tr w:rsidR="00E209E9" w:rsidRPr="00F1627E" w:rsidTr="004573A4">
        <w:tc>
          <w:tcPr>
            <w:tcW w:w="1716" w:type="dxa"/>
          </w:tcPr>
          <w:p w:rsidR="00E209E9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054" w:type="dxa"/>
          </w:tcPr>
          <w:p w:rsidR="00E209E9" w:rsidRPr="00E9379C" w:rsidRDefault="00E209E9" w:rsidP="00B820B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Kaufmann E, Sanz J, Dunn </w:t>
            </w:r>
            <w:proofErr w:type="gramStart"/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JL, </w:t>
            </w:r>
            <w:r w:rsidR="00B820B0" w:rsidRPr="00B820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Khan</w:t>
            </w:r>
            <w:proofErr w:type="gram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N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Mendonça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LE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Pacis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Tzelepis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F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Pernet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Dumaine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Grenier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JC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Mailhot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-Léonard F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Ahmed E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Belle J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Besla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Mazer B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King IL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Nijnik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Robbins CS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Barreiro LB</w:t>
            </w:r>
            <w:r w:rsidR="00B820B0"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Divangahi</w:t>
            </w:r>
            <w:proofErr w:type="spellEnd"/>
            <w:r w:rsidR="00B820B0"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BCG Educates Hematopoietic Stem Cells to Generate Protective Innate Immunity against Tuberculosis.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Cell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172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, no.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1-2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176-190.e19. </w:t>
            </w:r>
          </w:p>
        </w:tc>
        <w:tc>
          <w:tcPr>
            <w:tcW w:w="1648" w:type="dxa"/>
          </w:tcPr>
          <w:p w:rsidR="00E209E9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E209E9" w:rsidRPr="00E9379C" w:rsidRDefault="00E209E9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doi:10.1016/j.cell.2017.12.031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4" w:type="dxa"/>
          </w:tcPr>
          <w:p w:rsidR="003C4F82" w:rsidRPr="00F1627E" w:rsidRDefault="00E209E9" w:rsidP="00E209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Kleinnijenhuis J, Quintin J, Preijers F, 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Jacobs C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RJ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Meer JW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E2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E20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BCG-induced trained immunity in NK cells: Role for non-specific protection to infection.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Clin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155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no.2,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213-219. </w:t>
            </w:r>
          </w:p>
        </w:tc>
        <w:tc>
          <w:tcPr>
            <w:tcW w:w="1648" w:type="dxa"/>
          </w:tcPr>
          <w:p w:rsidR="003C4F82" w:rsidRPr="00F1627E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E209E9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doi:10.1016/j.clim.2014.10.005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B820B0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4" w:type="dxa"/>
          </w:tcPr>
          <w:p w:rsidR="003C4F82" w:rsidRPr="00F1627E" w:rsidRDefault="00B820B0" w:rsidP="00B82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Kleinnije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nhuis J, Quintin J, Preijers F, 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Ifrim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DC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Saeed S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Jacobs C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Loenhout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 Jong D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Stunnenberg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HG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RJ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Meer JW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Bacille Calmette-Guerin induces NOD2-dependent nonspecific protection from reinfection via epigenetic reprogramming of monocytes.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Proc Natl Acad Sci U S A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17537-17542. </w:t>
            </w:r>
          </w:p>
        </w:tc>
        <w:tc>
          <w:tcPr>
            <w:tcW w:w="1648" w:type="dxa"/>
          </w:tcPr>
          <w:p w:rsidR="003C4F82" w:rsidRPr="00F1627E" w:rsidRDefault="00B820B0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820B0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doi:10.1073/pnas.1202870109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B820B0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4" w:type="dxa"/>
          </w:tcPr>
          <w:p w:rsidR="003C4F82" w:rsidRPr="00F1627E" w:rsidRDefault="00B820B0" w:rsidP="00B82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Kleinnijenhuis J, Quintin J, Preijers F, 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Benn CS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LA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Jacobs C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Loenhout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Xavier RJ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Aaby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van der Meer JW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</w:t>
            </w:r>
            <w:r w:rsidRPr="00B820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B82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MG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Long-lasting effects of BCG vaccination on both heterologous Th1/Th17 responses and innate trained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Innate Immun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152-158. </w:t>
            </w:r>
          </w:p>
        </w:tc>
        <w:tc>
          <w:tcPr>
            <w:tcW w:w="1648" w:type="dxa"/>
          </w:tcPr>
          <w:p w:rsidR="003C4F82" w:rsidRPr="00F1627E" w:rsidRDefault="00B820B0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820B0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doi:10.1159/000355628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B820B0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54" w:type="dxa"/>
          </w:tcPr>
          <w:p w:rsidR="003C4F82" w:rsidRPr="00F1627E" w:rsidRDefault="0023213A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Koeken VACM, Verrall AJ, Netea MG, Hill PC, van Crevel R. Trained innate immunity and resistance to Mycobacterium tuberculosis infection.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Clin Microbiol Infect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2019</w:t>
            </w:r>
            <w:r w:rsidRPr="0023213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232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32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pii</w:t>
            </w:r>
            <w:proofErr w:type="spellEnd"/>
            <w:r w:rsidRPr="00232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S1198-743X(19)30081-3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1648" w:type="dxa"/>
          </w:tcPr>
          <w:p w:rsidR="003C4F82" w:rsidRPr="00F1627E" w:rsidRDefault="0023213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23213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doi:10.1016/J.CMI.2019.02.015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3213A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:rsidR="003C4F82" w:rsidRPr="00F1627E" w:rsidRDefault="0023213A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Kawai K, Miyazaki J, Joraku A, Nishiyama H, Akaza H. Bacillus Calmette-Guerin (BCG) immunotherapy for bladder cancer: Current understanding and perspectives on engineered BCG vaccine.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Cancer Sci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22-27. </w:t>
            </w:r>
          </w:p>
        </w:tc>
        <w:tc>
          <w:tcPr>
            <w:tcW w:w="1648" w:type="dxa"/>
          </w:tcPr>
          <w:p w:rsidR="003C4F82" w:rsidRPr="00F1627E" w:rsidRDefault="0023213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23213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doi:10.1111/cas.12075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4" w:type="dxa"/>
          </w:tcPr>
          <w:p w:rsidR="003C4F82" w:rsidRPr="00F1627E" w:rsidRDefault="0023213A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Ke X, Huang J, Chen Q, Hong S, Zhu D. Protective effects of combined Mycobacterium bovis BCG and interleukin-12 vaccination on airway inflammation in a murine model of allergic asthma.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Clin Invest Med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E196-202. </w:t>
            </w:r>
          </w:p>
        </w:tc>
        <w:tc>
          <w:tcPr>
            <w:tcW w:w="1648" w:type="dxa"/>
          </w:tcPr>
          <w:p w:rsidR="003C4F82" w:rsidRPr="00F1627E" w:rsidRDefault="0023213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23213A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http://www.ncbi.nlm.nih.gov/pubmed/20519099. Accessed September 12, 2019.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054" w:type="dxa"/>
          </w:tcPr>
          <w:p w:rsidR="003C4F82" w:rsidRPr="00F1627E" w:rsidRDefault="00C075E5" w:rsidP="00C075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Levy O, Wynn JL. A Prime Time for Trained Immunity: Innate Immune Memory in Newborns and Infants.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Neonatology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no.2,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136-141. </w:t>
            </w:r>
          </w:p>
        </w:tc>
        <w:tc>
          <w:tcPr>
            <w:tcW w:w="1648" w:type="dxa"/>
          </w:tcPr>
          <w:p w:rsidR="003C4F82" w:rsidRPr="00F1627E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doi:10.1159/000356035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054" w:type="dxa"/>
          </w:tcPr>
          <w:p w:rsidR="003C4F82" w:rsidRPr="00F1627E" w:rsidRDefault="00C075E5" w:rsidP="00C075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Mangtani P, Nguipdop-Djomo P, Keogh RH, </w:t>
            </w:r>
            <w:proofErr w:type="spellStart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Trinder</w:t>
            </w:r>
            <w:proofErr w:type="spellEnd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L, Smith PG, Fine PE, Sterne J, </w:t>
            </w:r>
            <w:proofErr w:type="spellStart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Abubakar</w:t>
            </w:r>
            <w:proofErr w:type="spellEnd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I, </w:t>
            </w:r>
            <w:proofErr w:type="spellStart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Vynnycky</w:t>
            </w:r>
            <w:proofErr w:type="spellEnd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E, Watson J, </w:t>
            </w:r>
            <w:proofErr w:type="spellStart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Elliman</w:t>
            </w:r>
            <w:proofErr w:type="spellEnd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D, </w:t>
            </w:r>
            <w:proofErr w:type="spellStart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Lipman</w:t>
            </w:r>
            <w:proofErr w:type="spellEnd"/>
            <w:r w:rsidRPr="00C07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M, Rodrigues LC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Observational study to estimate the changes in the effectiveness of bacillus Calmette-Guérin (BCG) vaccination with time since vaccination for preventing tuberculosis in the UK.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Health Technol Assess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1-54. </w:t>
            </w:r>
          </w:p>
        </w:tc>
        <w:tc>
          <w:tcPr>
            <w:tcW w:w="1648" w:type="dxa"/>
          </w:tcPr>
          <w:p w:rsidR="003C4F82" w:rsidRPr="00F1627E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doi:10.3310/hta21390</w:t>
            </w:r>
          </w:p>
        </w:tc>
      </w:tr>
      <w:tr w:rsidR="00C075E5" w:rsidRPr="00F1627E" w:rsidTr="004573A4">
        <w:tc>
          <w:tcPr>
            <w:tcW w:w="1716" w:type="dxa"/>
          </w:tcPr>
          <w:p w:rsidR="00C075E5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054" w:type="dxa"/>
          </w:tcPr>
          <w:p w:rsidR="00C075E5" w:rsidRPr="00E9379C" w:rsidRDefault="00C075E5" w:rsidP="00C075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Mitroulis I, Ruppova K, Wang B, </w:t>
            </w:r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Chen LS, </w:t>
            </w:r>
            <w:proofErr w:type="spellStart"/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Grzybek</w:t>
            </w:r>
            <w:proofErr w:type="spellEnd"/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M, </w:t>
            </w:r>
            <w:proofErr w:type="spellStart"/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Grinenko</w:t>
            </w:r>
            <w:proofErr w:type="spellEnd"/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T, </w:t>
            </w:r>
            <w:proofErr w:type="spellStart"/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Eugster</w:t>
            </w:r>
            <w:proofErr w:type="spellEnd"/>
            <w:r w:rsidR="00B758A4" w:rsidRPr="00B758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A,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Troullinaki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Palladini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Kourtzelis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Chatzigeorgiou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Schlitzer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Beyer M,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LAB,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Isermann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B,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Lesche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Petzold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Simons K, Henry I, Dahl A,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Schultze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JL,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Wielockx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B, Zamboni N,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Mirtschink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P,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Coskun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Ü,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Hajishengallis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G,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MG, </w:t>
            </w:r>
            <w:proofErr w:type="spellStart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Chavakis</w:t>
            </w:r>
            <w:proofErr w:type="spellEnd"/>
            <w:r w:rsidR="00B758A4"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T.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Modulation of Myelopoiesis Progenitors Is an Integral Component of Trained Immunity.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Cell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172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1-2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147-161.e12. </w:t>
            </w:r>
          </w:p>
        </w:tc>
        <w:tc>
          <w:tcPr>
            <w:tcW w:w="1648" w:type="dxa"/>
          </w:tcPr>
          <w:p w:rsidR="00C075E5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C075E5" w:rsidRPr="00E9379C" w:rsidRDefault="00C075E5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doi:10.1016/j.cell.2017.11.034</w:t>
            </w:r>
          </w:p>
        </w:tc>
      </w:tr>
      <w:tr w:rsidR="00C075E5" w:rsidRPr="00F1627E" w:rsidTr="004573A4">
        <w:tc>
          <w:tcPr>
            <w:tcW w:w="1716" w:type="dxa"/>
          </w:tcPr>
          <w:p w:rsidR="00C075E5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054" w:type="dxa"/>
          </w:tcPr>
          <w:p w:rsidR="00C075E5" w:rsidRPr="00E9379C" w:rsidRDefault="00C075E5" w:rsidP="00C075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Moliva JI, Turner J, Torrelles JB. Immune Responses to Bacillus Calmette–Guérin Vaccination: Why Do They Fail to Protect against Mycobacterium tuberculosis?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Front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407. </w:t>
            </w:r>
          </w:p>
        </w:tc>
        <w:tc>
          <w:tcPr>
            <w:tcW w:w="1648" w:type="dxa"/>
          </w:tcPr>
          <w:p w:rsidR="00C075E5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C075E5" w:rsidRPr="00E9379C" w:rsidRDefault="00C075E5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doi:10.3389/fimmu.2017.00407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F1627E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054" w:type="dxa"/>
          </w:tcPr>
          <w:p w:rsidR="003C4F82" w:rsidRPr="00F1627E" w:rsidRDefault="00C075E5" w:rsidP="00C075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Moulton LH, Rahmathullah L, Halsey NA, Thulasiraj RD, Katz J, Tielsch JM. Evaluation of non-specific effects of infant immunizations on early infant mortality in a southern Indian population.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Trop Med Int Heal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947-955. </w:t>
            </w:r>
          </w:p>
        </w:tc>
        <w:tc>
          <w:tcPr>
            <w:tcW w:w="1648" w:type="dxa"/>
          </w:tcPr>
          <w:p w:rsidR="003C4F82" w:rsidRPr="00F1627E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C075E5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doi:10.1111/j.1365-3156.2005.01434.x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54" w:type="dxa"/>
          </w:tcPr>
          <w:p w:rsidR="003C4F82" w:rsidRPr="00F1627E" w:rsidRDefault="00B758A4" w:rsidP="00B75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Nemes E, Geldenhuys H, Rozot V,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Rutkowski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KT,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Ratangee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F,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Bilek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N,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Mabwe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S,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Makhethe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L, Erasmus M,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Toefy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Mulenga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H,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Hanekom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WA, Self SG,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Bekker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LG, Ryall R,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Gurunathan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S,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DiazGranados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CA, Andersen P,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Kromann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I, Evans T, Ellis RD, Landry B, Hokey DA, Hopkins R, Ginsberg AM,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Scriba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TJ,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Hatherill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M; C-040-404 Study Team.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Prevention of M. tuberculosis Infection with H4:IC31 Vaccine or BCG Revaccination.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N Engl J Med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379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138-149. </w:t>
            </w:r>
          </w:p>
        </w:tc>
        <w:tc>
          <w:tcPr>
            <w:tcW w:w="1648" w:type="dxa"/>
          </w:tcPr>
          <w:p w:rsidR="003C4F82" w:rsidRPr="00F1627E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doi:10.1056/NEJMoa1714021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54" w:type="dxa"/>
          </w:tcPr>
          <w:p w:rsidR="003C4F82" w:rsidRPr="00B758A4" w:rsidRDefault="00B758A4" w:rsidP="00B75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8A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Nicolle D, Fremond C, Pichon X,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Bouchot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Maillet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Ryffel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B,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Quesniaux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VJ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B758A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Long-term control of Mycobacterium bovis BCG infection in the absence of toll-like </w:t>
            </w:r>
            <w:r w:rsidRPr="00B758A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 xml:space="preserve">receptors (TLRs): Investigation of TLR2-, TLR6-, or TLR2-TLR4-deficient mice. </w:t>
            </w:r>
            <w:r w:rsidRPr="00B758A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Infect Immun</w:t>
            </w:r>
            <w:r w:rsidRPr="00B758A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., 2004, Vol.72, no.12, pp.6994-7004. </w:t>
            </w:r>
          </w:p>
        </w:tc>
        <w:tc>
          <w:tcPr>
            <w:tcW w:w="1648" w:type="dxa"/>
          </w:tcPr>
          <w:p w:rsidR="003C4F82" w:rsidRPr="00F1627E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3C4F82" w:rsidRPr="00F1627E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doi:10.1128/IAI.72.12.6994-7004.2004</w:t>
            </w:r>
          </w:p>
        </w:tc>
      </w:tr>
      <w:tr w:rsidR="00B758A4" w:rsidRPr="00F1627E" w:rsidTr="004573A4">
        <w:tc>
          <w:tcPr>
            <w:tcW w:w="1716" w:type="dxa"/>
          </w:tcPr>
          <w:p w:rsidR="00B758A4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7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54" w:type="dxa"/>
          </w:tcPr>
          <w:p w:rsidR="00B758A4" w:rsidRPr="00E9379C" w:rsidRDefault="00B758A4" w:rsidP="00B758A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Omenaas E, Jentoft HF, Vollmer WM, Buist AS, Gulsvik A. Absence of relationship between tuberculin reactivity and atopy in BCG vaccinated young adults.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Thorax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454-458. </w:t>
            </w:r>
          </w:p>
        </w:tc>
        <w:tc>
          <w:tcPr>
            <w:tcW w:w="1648" w:type="dxa"/>
          </w:tcPr>
          <w:p w:rsidR="00B758A4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B758A4" w:rsidRPr="00E9379C" w:rsidRDefault="00B758A4" w:rsidP="003C4F8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doi:10.1136/thorax.55.6.454</w:t>
            </w:r>
          </w:p>
        </w:tc>
      </w:tr>
      <w:tr w:rsidR="004573A4" w:rsidRPr="00F1627E" w:rsidTr="004573A4">
        <w:tc>
          <w:tcPr>
            <w:tcW w:w="1716" w:type="dxa"/>
          </w:tcPr>
          <w:p w:rsidR="003C4F82" w:rsidRPr="002B79C8" w:rsidRDefault="002B79C8" w:rsidP="003C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4" w:type="dxa"/>
          </w:tcPr>
          <w:p w:rsidR="003C4F82" w:rsidRPr="00F1627E" w:rsidRDefault="00B758A4" w:rsidP="00B75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Ota MOC, Vekemans J, Schlegel-Haueter SE, </w:t>
            </w:r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Fielding K,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Sanneh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M, Kidd M, Newport MJ,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Aaby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P, Whittle H, Lambert PH, McAdam KP, </w:t>
            </w:r>
            <w:proofErr w:type="spellStart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Siegrist</w:t>
            </w:r>
            <w:proofErr w:type="spellEnd"/>
            <w:r w:rsidRPr="00B75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CA, Marchant A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Influence of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Mycobacterium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bovis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Bacillus Calmette-Guérin on Antibody and Cytokine Responses to Human Neonatal Vaccination.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168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919-925. </w:t>
            </w:r>
          </w:p>
        </w:tc>
        <w:tc>
          <w:tcPr>
            <w:tcW w:w="1648" w:type="dxa"/>
          </w:tcPr>
          <w:p w:rsidR="003C4F82" w:rsidRPr="00F1627E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3C4F82" w:rsidRPr="00F1627E" w:rsidRDefault="00B758A4" w:rsidP="003C4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doi:10.4049/jimmunol.168.2.919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4" w:type="dxa"/>
          </w:tcPr>
          <w:p w:rsidR="0023213A" w:rsidRPr="00F1627E" w:rsidRDefault="0023213A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Pieraerts C, Martin V, Jichlinski P, Nardelli-Haefliger D, Derre L. Detection of functional antigen-specific T cells from urine of non-muscle invasive bladder cancer patients.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Oncoimmunology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694-698. </w:t>
            </w:r>
          </w:p>
        </w:tc>
        <w:tc>
          <w:tcPr>
            <w:tcW w:w="1648" w:type="dxa"/>
          </w:tcPr>
          <w:p w:rsidR="0023213A" w:rsidRPr="00F1627E" w:rsidRDefault="0023213A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23213A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doi:10.4161/onci.20526</w:t>
            </w:r>
          </w:p>
        </w:tc>
      </w:tr>
      <w:tr w:rsidR="00C751D8" w:rsidRPr="00F1627E" w:rsidTr="004573A4">
        <w:tc>
          <w:tcPr>
            <w:tcW w:w="1716" w:type="dxa"/>
          </w:tcPr>
          <w:p w:rsidR="00C751D8" w:rsidRPr="002B79C8" w:rsidRDefault="00C751D8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4" w:type="dxa"/>
          </w:tcPr>
          <w:p w:rsidR="00C751D8" w:rsidRPr="00E9379C" w:rsidRDefault="00C751D8" w:rsidP="00C751D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Ritz N, Mui M, Balloch A, Curtis N. Non-specific effect of Bacille Calmette-Guérin vaccine on the immune response to routine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lastRenderedPageBreak/>
              <w:t xml:space="preserve">immunisations.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Vaccine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3098-3103. </w:t>
            </w:r>
          </w:p>
        </w:tc>
        <w:tc>
          <w:tcPr>
            <w:tcW w:w="1648" w:type="dxa"/>
          </w:tcPr>
          <w:p w:rsidR="00C751D8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C751D8" w:rsidRPr="00E9379C" w:rsidRDefault="00C751D8" w:rsidP="0023213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doi:10.1016/j.vaccine.2013.03.059</w:t>
            </w:r>
          </w:p>
        </w:tc>
      </w:tr>
      <w:tr w:rsidR="00C751D8" w:rsidRPr="00F1627E" w:rsidTr="004573A4">
        <w:tc>
          <w:tcPr>
            <w:tcW w:w="1716" w:type="dxa"/>
          </w:tcPr>
          <w:p w:rsidR="00C751D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75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054" w:type="dxa"/>
          </w:tcPr>
          <w:p w:rsidR="00C751D8" w:rsidRPr="00E9379C" w:rsidRDefault="00C751D8" w:rsidP="00C751D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Rodrigues A, Fischer TK, Valentiner-Branth P</w:t>
            </w:r>
            <w:r w:rsidRPr="00C751D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Nielsen J, </w:t>
            </w:r>
            <w:proofErr w:type="spellStart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Steinsland</w:t>
            </w:r>
            <w:proofErr w:type="spellEnd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H, Perch M, </w:t>
            </w:r>
            <w:proofErr w:type="spellStart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Garly</w:t>
            </w:r>
            <w:proofErr w:type="spellEnd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ML, </w:t>
            </w:r>
            <w:proofErr w:type="spellStart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Mølbak</w:t>
            </w:r>
            <w:proofErr w:type="spellEnd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K, </w:t>
            </w:r>
            <w:proofErr w:type="spellStart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Aaby</w:t>
            </w:r>
            <w:proofErr w:type="spellEnd"/>
            <w:r w:rsidRPr="00C751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Community cohort study of rotavirus and other enteropathogens: Are routine vaccinations associated with sex-differential incidence rates?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Vaccine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4737-4746. </w:t>
            </w:r>
          </w:p>
        </w:tc>
        <w:tc>
          <w:tcPr>
            <w:tcW w:w="1648" w:type="dxa"/>
          </w:tcPr>
          <w:p w:rsidR="00C751D8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C751D8" w:rsidRPr="00E9379C" w:rsidRDefault="00C751D8" w:rsidP="0023213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doi:10.1016/J.VACCINE.2006.03.033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4" w:type="dxa"/>
          </w:tcPr>
          <w:p w:rsidR="0023213A" w:rsidRPr="00F1627E" w:rsidRDefault="00C751D8" w:rsidP="00C751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Rousseau M-C, Parent M-E, St-Pierre Y. Potential health effects from non-specific stimulation of the immune function in early age: The example of BCG vaccination.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Pediatr Allergy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438-448. </w:t>
            </w:r>
          </w:p>
        </w:tc>
        <w:tc>
          <w:tcPr>
            <w:tcW w:w="1648" w:type="dxa"/>
          </w:tcPr>
          <w:p w:rsidR="0023213A" w:rsidRPr="00F1627E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doi:10.1111/j.1399-3038.2007.00669.x</w:t>
            </w:r>
          </w:p>
        </w:tc>
      </w:tr>
      <w:tr w:rsidR="004573A4" w:rsidRPr="00543582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4" w:type="dxa"/>
          </w:tcPr>
          <w:p w:rsidR="0023213A" w:rsidRPr="00F1627E" w:rsidRDefault="00DE3FD5" w:rsidP="00DE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Sciences WC-TAJ of the M, 1894  undefined. TREATMENT OF INOPERABLE MALIGNANT TUMORS WITH THE TOXINES OF ERYSIPELAS AND THE BACILLUS PRODIGIOSUS. 1. Accessed September 18, 2019.</w:t>
            </w:r>
          </w:p>
        </w:tc>
        <w:tc>
          <w:tcPr>
            <w:tcW w:w="1648" w:type="dxa"/>
          </w:tcPr>
          <w:p w:rsidR="0023213A" w:rsidRPr="00F1627E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DE3FD5" w:rsidRDefault="00DE3FD5" w:rsidP="0023213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search.proquest.com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. </w:t>
            </w:r>
            <w:hyperlink r:id="rId5" w:history="1">
              <w:r w:rsidRPr="0056700F">
                <w:rPr>
                  <w:rStyle w:val="a5"/>
                  <w:rFonts w:ascii="Times New Roman" w:hAnsi="Times New Roman" w:cs="Times New Roman"/>
                  <w:noProof/>
                  <w:sz w:val="28"/>
                  <w:szCs w:val="24"/>
                  <w:lang w:val="en-US"/>
                </w:rPr>
                <w:t>http://search.proquest.com/openview/</w:t>
              </w:r>
            </w:hyperlink>
          </w:p>
          <w:p w:rsidR="0023213A" w:rsidRPr="00F1627E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2b4fb5bca8b11309314814797b826375/1?pq-origsite=gscholar&amp;cbl=41361.</w:t>
            </w:r>
          </w:p>
        </w:tc>
      </w:tr>
      <w:tr w:rsidR="00DE3FD5" w:rsidRPr="00F1627E" w:rsidTr="004573A4">
        <w:tc>
          <w:tcPr>
            <w:tcW w:w="1716" w:type="dxa"/>
          </w:tcPr>
          <w:p w:rsidR="00DE3FD5" w:rsidRPr="002B79C8" w:rsidRDefault="00DE3FD5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4" w:type="dxa"/>
          </w:tcPr>
          <w:p w:rsidR="00DE3FD5" w:rsidRPr="00E9379C" w:rsidRDefault="00DE3FD5" w:rsidP="00DE3FD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Shirakawa T, Enomoto T, Shimazu S, Hopkin JM. The Inverse Association Between Tuberculin Responses and Atopic Disorder.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1997,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275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5296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77-79. </w:t>
            </w:r>
          </w:p>
        </w:tc>
        <w:tc>
          <w:tcPr>
            <w:tcW w:w="1648" w:type="dxa"/>
          </w:tcPr>
          <w:p w:rsidR="00DE3FD5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DE3FD5" w:rsidRPr="00E9379C" w:rsidRDefault="00DE3FD5" w:rsidP="0023213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doi:10.1126/science.275.5296.77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5054" w:type="dxa"/>
          </w:tcPr>
          <w:p w:rsidR="0023213A" w:rsidRPr="00F1627E" w:rsidRDefault="00C751D8" w:rsidP="00DE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Smith SG, Kleinnijenhuis J, Netea MG, Dockrell HM. Whole Blood Profiling of Bacillus Calmette-Guérin-Induced Trained Innate Immunity in Infants Identifies Epidermal Growth Factor, IL-6, Platelet-Derived Growth Factor-AB/BB, and Natural Killer Cell Activation.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Front Immunol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 w:rsidR="00DE3FD5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2017</w:t>
            </w:r>
            <w:r w:rsidR="00DE3FD5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8</w:t>
            </w:r>
            <w:r w:rsidR="00DE3FD5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644. </w:t>
            </w:r>
          </w:p>
        </w:tc>
        <w:tc>
          <w:tcPr>
            <w:tcW w:w="1648" w:type="dxa"/>
          </w:tcPr>
          <w:p w:rsidR="0023213A" w:rsidRPr="00F1627E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doi:10.3389/fimmu.2017.00644</w:t>
            </w:r>
          </w:p>
        </w:tc>
      </w:tr>
      <w:tr w:rsidR="00DE3FD5" w:rsidRPr="00F1627E" w:rsidTr="004573A4">
        <w:tc>
          <w:tcPr>
            <w:tcW w:w="1716" w:type="dxa"/>
          </w:tcPr>
          <w:p w:rsidR="00DE3FD5" w:rsidRPr="002B79C8" w:rsidRDefault="00DE3FD5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4" w:type="dxa"/>
          </w:tcPr>
          <w:p w:rsidR="00DE3FD5" w:rsidRPr="00E9379C" w:rsidRDefault="00DE3FD5" w:rsidP="00DE3FD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Strachan DP. Family size, infection and atopy: the first decade of the &amp;quot;hygiene hypothesis&amp;quot;.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Thorax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55 Suppl 1(Suppl 1)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S2-10. </w:t>
            </w:r>
          </w:p>
        </w:tc>
        <w:tc>
          <w:tcPr>
            <w:tcW w:w="1648" w:type="dxa"/>
          </w:tcPr>
          <w:p w:rsidR="00DE3FD5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DE3FD5" w:rsidRPr="00E9379C" w:rsidRDefault="00DE3FD5" w:rsidP="0023213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doi:10.1136/thorax.55.suppl_1.s2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54" w:type="dxa"/>
          </w:tcPr>
          <w:p w:rsidR="0023213A" w:rsidRPr="00F1627E" w:rsidRDefault="00C751D8" w:rsidP="00C751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Sylvester RJ, van der MEIJDEN APM, Lamm DL. Intravesical bacillus Calmette-Guerin reduces the risk of progression in patients with superficial bladder cancer: a meta-analysis of the published results of randomized clinical trials.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J Urol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2002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168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1964-1970. </w:t>
            </w:r>
          </w:p>
        </w:tc>
        <w:tc>
          <w:tcPr>
            <w:tcW w:w="1648" w:type="dxa"/>
          </w:tcPr>
          <w:p w:rsidR="0023213A" w:rsidRPr="00F1627E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C751D8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doi:10.1097/01.ju.0000034450.80198.1c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F1627E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54" w:type="dxa"/>
          </w:tcPr>
          <w:p w:rsidR="0023213A" w:rsidRPr="00F1627E" w:rsidRDefault="00DE3FD5" w:rsidP="00DE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Trunz BB, Fine P, Dye C. Effect of BCG vaccination on childhood tuberculous meningitis and miliary tuberculosis worldwide: a meta-analysis and assessment of cost-effectiveness.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Lancet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367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9517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1173-1180. </w:t>
            </w:r>
          </w:p>
        </w:tc>
        <w:tc>
          <w:tcPr>
            <w:tcW w:w="1648" w:type="dxa"/>
          </w:tcPr>
          <w:p w:rsidR="0023213A" w:rsidRPr="00F1627E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doi:10.1016/S0140-6736(06)68507-3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4" w:type="dxa"/>
          </w:tcPr>
          <w:p w:rsidR="0023213A" w:rsidRPr="00F1627E" w:rsidRDefault="00DE3FD5" w:rsidP="004573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Verma D, Parasa VR, Raffetseder </w:t>
            </w:r>
            <w:proofErr w:type="gramStart"/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J, </w:t>
            </w:r>
            <w:r w:rsidR="004573A4" w:rsidRPr="004573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Martis</w:t>
            </w:r>
            <w:proofErr w:type="spellEnd"/>
            <w:proofErr w:type="gramEnd"/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="004573A4"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Mehta RB</w:t>
            </w:r>
            <w:r w:rsidR="004573A4"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="004573A4"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Lerm</w:t>
            </w:r>
            <w:proofErr w:type="spellEnd"/>
            <w:r w:rsidR="004573A4" w:rsidRPr="00457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Pr="004573A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Anti-mycobacterial activity correlates with 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lastRenderedPageBreak/>
              <w:t xml:space="preserve">altered DNA methylation pattern in immune cells from BCG-vaccinated subjects.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Sci Rep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12305. </w:t>
            </w:r>
          </w:p>
        </w:tc>
        <w:tc>
          <w:tcPr>
            <w:tcW w:w="1648" w:type="dxa"/>
          </w:tcPr>
          <w:p w:rsidR="0023213A" w:rsidRPr="00F1627E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6142" w:type="dxa"/>
          </w:tcPr>
          <w:p w:rsidR="0023213A" w:rsidRPr="00F1627E" w:rsidRDefault="00DE3FD5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doi:10.1038/s41598-017-12110-2</w:t>
            </w:r>
          </w:p>
        </w:tc>
      </w:tr>
      <w:tr w:rsidR="004573A4" w:rsidRPr="00F1627E" w:rsidTr="004573A4">
        <w:tc>
          <w:tcPr>
            <w:tcW w:w="1716" w:type="dxa"/>
          </w:tcPr>
          <w:p w:rsidR="004573A4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573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054" w:type="dxa"/>
          </w:tcPr>
          <w:p w:rsidR="004573A4" w:rsidRPr="00E9379C" w:rsidRDefault="004573A4" w:rsidP="004573A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Walk J, de Bree LCJ, Graumans W,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Stoter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R, van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Gemert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GJ, van de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Vegte-Bolmer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Teelen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K,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Hermsen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CC, Arts RJW,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Behet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MC,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Keramati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F,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Moorlag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SJCFM, Yang ASP, van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Crevel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R,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Aaby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P, de Mast Q, van der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Ven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AJAM,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Stabell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Benn C,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Netea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MG, </w:t>
            </w:r>
            <w:proofErr w:type="spellStart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Sauerwein</w:t>
            </w:r>
            <w:proofErr w:type="spellEnd"/>
            <w:r w:rsidRPr="00457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RW</w:t>
            </w:r>
            <w:r w:rsidRPr="004573A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Outcomes of controlled human malaria infection after BCG vaccination.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Nat Commun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874. </w:t>
            </w:r>
          </w:p>
        </w:tc>
        <w:tc>
          <w:tcPr>
            <w:tcW w:w="1648" w:type="dxa"/>
          </w:tcPr>
          <w:p w:rsidR="004573A4" w:rsidRDefault="004573A4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4573A4" w:rsidRPr="00E9379C" w:rsidRDefault="004573A4" w:rsidP="0023213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doi:10.1038/s41467-019-08659-3</w:t>
            </w:r>
          </w:p>
        </w:tc>
      </w:tr>
      <w:tr w:rsidR="004573A4" w:rsidRPr="00F1627E" w:rsidTr="004573A4">
        <w:tc>
          <w:tcPr>
            <w:tcW w:w="1716" w:type="dxa"/>
          </w:tcPr>
          <w:p w:rsidR="0023213A" w:rsidRPr="002B79C8" w:rsidRDefault="002B79C8" w:rsidP="0023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4" w:type="dxa"/>
          </w:tcPr>
          <w:p w:rsidR="0023213A" w:rsidRPr="00F1627E" w:rsidRDefault="004573A4" w:rsidP="004573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World Health Organization. BCG vaccine: WHO position paper, February 2018 – Recommendations.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Vaccine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36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3408-3410. </w:t>
            </w:r>
          </w:p>
        </w:tc>
        <w:tc>
          <w:tcPr>
            <w:tcW w:w="1648" w:type="dxa"/>
          </w:tcPr>
          <w:p w:rsidR="0023213A" w:rsidRPr="00F1627E" w:rsidRDefault="004573A4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4573A4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doi:10.1016/j.vaccine.2018.03.009</w:t>
            </w:r>
          </w:p>
        </w:tc>
      </w:tr>
      <w:tr w:rsidR="004573A4" w:rsidRPr="00543582" w:rsidTr="004573A4">
        <w:tc>
          <w:tcPr>
            <w:tcW w:w="1716" w:type="dxa"/>
          </w:tcPr>
          <w:p w:rsidR="0023213A" w:rsidRPr="002B79C8" w:rsidRDefault="004573A4" w:rsidP="002B7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B7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5054" w:type="dxa"/>
          </w:tcPr>
          <w:p w:rsidR="0023213A" w:rsidRPr="00F1627E" w:rsidRDefault="004573A4" w:rsidP="004573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Yoneyama H, Suzuki M, Fujii K, Odajima Y. [The effect of DPT and BCG vaccinations on atopic disorders]. </w:t>
            </w:r>
            <w:r w:rsidRPr="00E9379C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  <w:lang w:val="en-US"/>
              </w:rPr>
              <w:t>Arerugi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 2000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Vol.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no.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, pp.</w:t>
            </w: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 xml:space="preserve">585-592. </w:t>
            </w:r>
          </w:p>
        </w:tc>
        <w:tc>
          <w:tcPr>
            <w:tcW w:w="1648" w:type="dxa"/>
          </w:tcPr>
          <w:p w:rsidR="0023213A" w:rsidRPr="00F1627E" w:rsidRDefault="004573A4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42" w:type="dxa"/>
          </w:tcPr>
          <w:p w:rsidR="0023213A" w:rsidRPr="00F1627E" w:rsidRDefault="004573A4" w:rsidP="002321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9C"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http://www.ncbi.nlm.nih.gov/pubmed/10944825.</w:t>
            </w:r>
          </w:p>
        </w:tc>
      </w:tr>
    </w:tbl>
    <w:p w:rsidR="00127F27" w:rsidRPr="00F1627E" w:rsidRDefault="00127F27" w:rsidP="00F162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7F27" w:rsidRPr="00F1627E" w:rsidSect="00F162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7E"/>
    <w:rsid w:val="00127F27"/>
    <w:rsid w:val="0023213A"/>
    <w:rsid w:val="00260ED6"/>
    <w:rsid w:val="002B79C8"/>
    <w:rsid w:val="003C4F82"/>
    <w:rsid w:val="004573A4"/>
    <w:rsid w:val="004D1173"/>
    <w:rsid w:val="00543582"/>
    <w:rsid w:val="00933E8A"/>
    <w:rsid w:val="00AF0A00"/>
    <w:rsid w:val="00B55D1D"/>
    <w:rsid w:val="00B5782B"/>
    <w:rsid w:val="00B758A4"/>
    <w:rsid w:val="00B820B0"/>
    <w:rsid w:val="00C075E5"/>
    <w:rsid w:val="00C751D8"/>
    <w:rsid w:val="00DD66BC"/>
    <w:rsid w:val="00DE3FD5"/>
    <w:rsid w:val="00E209E9"/>
    <w:rsid w:val="00E37D38"/>
    <w:rsid w:val="00EB6033"/>
    <w:rsid w:val="00F1627E"/>
    <w:rsid w:val="00F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4B76"/>
  <w15:chartTrackingRefBased/>
  <w15:docId w15:val="{58497273-90CA-483C-8E5E-6E0CD8B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627E"/>
    <w:rPr>
      <w:b/>
      <w:bCs/>
    </w:rPr>
  </w:style>
  <w:style w:type="character" w:styleId="a5">
    <w:name w:val="Hyperlink"/>
    <w:basedOn w:val="a0"/>
    <w:uiPriority w:val="99"/>
    <w:unhideWhenUsed/>
    <w:rsid w:val="00F1627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933E8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3E8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3E8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3E8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3E8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proquest.com/openview/" TargetMode="External"/><Relationship Id="rId4" Type="http://schemas.openxmlformats.org/officeDocument/2006/relationships/hyperlink" Target="http://ovidsp.dc2.ovid.com/sp-4.02.1a/ovidweb.cgi?T=JS&amp;PAGE=fulltext&amp;D=ovft&amp;AN=00003086-199101000-00002&amp;NEWS=N&amp;CSC=Y&amp;CHANNEL=PubM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Шепелькова</dc:creator>
  <cp:keywords/>
  <dc:description/>
  <cp:lastModifiedBy>Галина Шепелькова</cp:lastModifiedBy>
  <cp:revision>5</cp:revision>
  <cp:lastPrinted>2019-10-04T06:07:00Z</cp:lastPrinted>
  <dcterms:created xsi:type="dcterms:W3CDTF">2019-10-03T09:11:00Z</dcterms:created>
  <dcterms:modified xsi:type="dcterms:W3CDTF">2019-10-04T06:41:00Z</dcterms:modified>
</cp:coreProperties>
</file>