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A18" w:rsidRPr="00B93B8F" w:rsidRDefault="00F80A18" w:rsidP="00F80A18">
      <w:pPr>
        <w:spacing w:after="0" w:line="240" w:lineRule="auto"/>
        <w:ind w:firstLine="284"/>
        <w:jc w:val="both"/>
        <w:rPr>
          <w:rFonts w:ascii="Times New Roman" w:hAnsi="Times New Roman" w:cs="Times New Roman"/>
          <w:sz w:val="28"/>
          <w:szCs w:val="28"/>
        </w:rPr>
      </w:pPr>
      <w:r w:rsidRPr="00B93B8F">
        <w:rPr>
          <w:rFonts w:ascii="Times New Roman" w:hAnsi="Times New Roman" w:cs="Times New Roman"/>
          <w:b/>
          <w:sz w:val="28"/>
          <w:szCs w:val="28"/>
        </w:rPr>
        <w:t xml:space="preserve">Резюме. </w:t>
      </w:r>
      <w:r w:rsidRPr="00B93B8F">
        <w:rPr>
          <w:rFonts w:ascii="Times New Roman" w:hAnsi="Times New Roman" w:cs="Times New Roman"/>
          <w:sz w:val="28"/>
          <w:szCs w:val="28"/>
        </w:rPr>
        <w:t>На основе III Международного Консенсуса в отношении определения Сепсиса и Септического шока (Sepsis-3) было признано современное определение септического шока:</w:t>
      </w:r>
      <w:r w:rsidRPr="00B93B8F">
        <w:rPr>
          <w:rFonts w:ascii="Times New Roman" w:eastAsia="+mn-ea" w:hAnsi="Times New Roman" w:cs="Times New Roman"/>
          <w:bCs/>
          <w:color w:val="000000"/>
          <w:kern w:val="24"/>
          <w:sz w:val="28"/>
          <w:szCs w:val="28"/>
          <w:lang w:eastAsia="ru-RU"/>
        </w:rPr>
        <w:t xml:space="preserve"> «</w:t>
      </w:r>
      <w:r w:rsidRPr="00B93B8F">
        <w:rPr>
          <w:rFonts w:ascii="Times New Roman" w:hAnsi="Times New Roman" w:cs="Times New Roman"/>
          <w:bCs/>
          <w:sz w:val="28"/>
          <w:szCs w:val="28"/>
        </w:rPr>
        <w:t xml:space="preserve">Септический шок – это разновидность сепсиса, который сопровождается выраженными гемодинамическими, метаболическими и клеточными расстройствами, причём эти нарушения ассоциируются с более высоким риском летального исхода». </w:t>
      </w:r>
      <w:r w:rsidRPr="00B93B8F">
        <w:rPr>
          <w:rFonts w:ascii="Times New Roman" w:hAnsi="Times New Roman" w:cs="Times New Roman"/>
          <w:color w:val="000000"/>
          <w:sz w:val="28"/>
          <w:szCs w:val="28"/>
        </w:rPr>
        <w:t>Несмотря на классическое представление о развитии септического шока (провоспалительный, иммуносупрессивный этапы и стадия полиорганной недостаточности с формированием шоковых органов), теории активации каспазного пути, эндоканнабиноидной системы и системы белка запрограммированной клеточной смерти-1 (</w:t>
      </w:r>
      <w:r w:rsidRPr="00B93B8F">
        <w:rPr>
          <w:rFonts w:ascii="Times New Roman" w:hAnsi="Times New Roman" w:cs="Times New Roman"/>
          <w:iCs/>
          <w:sz w:val="28"/>
          <w:szCs w:val="28"/>
          <w:lang/>
        </w:rPr>
        <w:t>Programmed</w:t>
      </w:r>
      <w:r w:rsidRPr="00B93B8F">
        <w:rPr>
          <w:rFonts w:ascii="Times New Roman" w:hAnsi="Times New Roman" w:cs="Times New Roman"/>
          <w:iCs/>
          <w:sz w:val="28"/>
          <w:szCs w:val="28"/>
        </w:rPr>
        <w:t xml:space="preserve"> </w:t>
      </w:r>
      <w:r w:rsidRPr="00B93B8F">
        <w:rPr>
          <w:rFonts w:ascii="Times New Roman" w:hAnsi="Times New Roman" w:cs="Times New Roman"/>
          <w:iCs/>
          <w:sz w:val="28"/>
          <w:szCs w:val="28"/>
          <w:lang/>
        </w:rPr>
        <w:t>cell</w:t>
      </w:r>
      <w:r w:rsidRPr="00B93B8F">
        <w:rPr>
          <w:rFonts w:ascii="Times New Roman" w:hAnsi="Times New Roman" w:cs="Times New Roman"/>
          <w:iCs/>
          <w:sz w:val="28"/>
          <w:szCs w:val="28"/>
        </w:rPr>
        <w:t xml:space="preserve"> </w:t>
      </w:r>
      <w:r w:rsidRPr="00B93B8F">
        <w:rPr>
          <w:rFonts w:ascii="Times New Roman" w:hAnsi="Times New Roman" w:cs="Times New Roman"/>
          <w:iCs/>
          <w:sz w:val="28"/>
          <w:szCs w:val="28"/>
          <w:lang/>
        </w:rPr>
        <w:t>death</w:t>
      </w:r>
      <w:r w:rsidRPr="00B93B8F">
        <w:rPr>
          <w:rFonts w:ascii="Times New Roman" w:hAnsi="Times New Roman" w:cs="Times New Roman"/>
          <w:iCs/>
          <w:sz w:val="28"/>
          <w:szCs w:val="28"/>
        </w:rPr>
        <w:t xml:space="preserve"> 1 – </w:t>
      </w:r>
      <w:r w:rsidRPr="00B93B8F">
        <w:rPr>
          <w:rFonts w:ascii="Times New Roman" w:hAnsi="Times New Roman" w:cs="Times New Roman"/>
          <w:iCs/>
          <w:sz w:val="28"/>
          <w:szCs w:val="28"/>
          <w:lang w:val="en-US"/>
        </w:rPr>
        <w:t>PD</w:t>
      </w:r>
      <w:r w:rsidRPr="00B93B8F">
        <w:rPr>
          <w:rFonts w:ascii="Times New Roman" w:hAnsi="Times New Roman" w:cs="Times New Roman"/>
          <w:iCs/>
          <w:sz w:val="28"/>
          <w:szCs w:val="28"/>
        </w:rPr>
        <w:t>-1</w:t>
      </w:r>
      <w:r w:rsidRPr="00B93B8F">
        <w:rPr>
          <w:rFonts w:ascii="Times New Roman" w:hAnsi="Times New Roman" w:cs="Times New Roman"/>
          <w:color w:val="000000"/>
          <w:sz w:val="28"/>
          <w:szCs w:val="28"/>
        </w:rPr>
        <w:t xml:space="preserve">) в формировании септического шока являются перспективными подходами в разработке новых диагностических и терапевтических методов. Уже на ранней стадии септического шока наблюдается лимфопения, которая в дальнейшем приводит </w:t>
      </w:r>
      <w:proofErr w:type="gramStart"/>
      <w:r w:rsidRPr="00B93B8F">
        <w:rPr>
          <w:rFonts w:ascii="Times New Roman" w:hAnsi="Times New Roman" w:cs="Times New Roman"/>
          <w:color w:val="000000"/>
          <w:sz w:val="28"/>
          <w:szCs w:val="28"/>
        </w:rPr>
        <w:t>к</w:t>
      </w:r>
      <w:proofErr w:type="gramEnd"/>
      <w:r w:rsidRPr="00B93B8F">
        <w:rPr>
          <w:rFonts w:ascii="Times New Roman" w:hAnsi="Times New Roman" w:cs="Times New Roman"/>
          <w:color w:val="000000"/>
          <w:sz w:val="28"/>
          <w:szCs w:val="28"/>
        </w:rPr>
        <w:t xml:space="preserve"> глубокой иммуносупрессии. Проводимые ранее исследования по лечению разрабатывали методы снижения провоспалительной стадии, что не давало должного результата среди пациентов. Сейчас необходимо искать пути ингибирования апоптоза, истощения лимфоцитов, макрофагов и других иммунных клеток человека в ходе развития септического шока. Известно, что каспазы опосредуют врожденное обнаружение патогенных микроорганизмов, вызывают пироптоз, активацию моноцитов. Доказано, что ингибирование каспаз-8, каспаз-11 приводит к снижению функционирования моноцитов и высвобождения цитокинов, что играет важную роль в иммунопатогенезе септического шока. Также показаны ассоциации экспрессии </w:t>
      </w:r>
      <w:r w:rsidRPr="00B93B8F">
        <w:rPr>
          <w:rFonts w:ascii="Times New Roman" w:hAnsi="Times New Roman" w:cs="Times New Roman"/>
          <w:color w:val="000000"/>
          <w:sz w:val="28"/>
          <w:szCs w:val="28"/>
          <w:lang w:val="en-US"/>
        </w:rPr>
        <w:t>PD</w:t>
      </w:r>
      <w:r w:rsidRPr="00B93B8F">
        <w:rPr>
          <w:rFonts w:ascii="Times New Roman" w:hAnsi="Times New Roman" w:cs="Times New Roman"/>
          <w:color w:val="000000"/>
          <w:sz w:val="28"/>
          <w:szCs w:val="28"/>
        </w:rPr>
        <w:t xml:space="preserve">-1 и </w:t>
      </w:r>
      <w:r w:rsidRPr="00B93B8F">
        <w:rPr>
          <w:rFonts w:ascii="Times New Roman" w:hAnsi="Times New Roman" w:cs="Times New Roman"/>
          <w:color w:val="000000"/>
          <w:sz w:val="28"/>
          <w:szCs w:val="28"/>
          <w:lang w:val="en-US"/>
        </w:rPr>
        <w:t>PD</w:t>
      </w:r>
      <w:r w:rsidRPr="00B93B8F">
        <w:rPr>
          <w:rFonts w:ascii="Times New Roman" w:hAnsi="Times New Roman" w:cs="Times New Roman"/>
          <w:color w:val="000000"/>
          <w:sz w:val="28"/>
          <w:szCs w:val="28"/>
        </w:rPr>
        <w:t xml:space="preserve">-2 на лимфоцитах </w:t>
      </w:r>
      <w:r w:rsidRPr="00B93B8F">
        <w:rPr>
          <w:rFonts w:ascii="Times New Roman" w:hAnsi="Times New Roman" w:cs="Times New Roman"/>
          <w:color w:val="000000"/>
          <w:sz w:val="28"/>
          <w:szCs w:val="28"/>
          <w:lang w:val="en-US"/>
        </w:rPr>
        <w:t>CD</w:t>
      </w:r>
      <w:r w:rsidRPr="00B93B8F">
        <w:rPr>
          <w:rFonts w:ascii="Times New Roman" w:hAnsi="Times New Roman" w:cs="Times New Roman"/>
          <w:color w:val="000000"/>
          <w:sz w:val="28"/>
          <w:szCs w:val="28"/>
        </w:rPr>
        <w:t>4+ и моноцитах с развитием иммунных дисфункций, снижением пролиферации лимфоцитов и повышением концентрации интерлейкина-10. Стимуляция эндоканнабиноидных рецепторов способна ослаблять воспаление, ингибируя цитопатическое и имуннодепрессивное действие патогенов. Показано, что классические биомаркеры септического шока (провоспалительные, противовоспалительные цитокины; прокальцитонин, лактат и др.) не обладают высокой прогностической силой по отношению к исходу заболевания. Циркулирующие и цитрулированные гистоны плазмы крови</w:t>
      </w:r>
      <w:r w:rsidRPr="00B93B8F">
        <w:rPr>
          <w:rFonts w:ascii="Times New Roman" w:hAnsi="Times New Roman" w:cs="Times New Roman"/>
          <w:sz w:val="28"/>
          <w:szCs w:val="28"/>
        </w:rPr>
        <w:t>,</w:t>
      </w:r>
      <w:r w:rsidRPr="00B93B8F">
        <w:rPr>
          <w:rFonts w:ascii="Times New Roman" w:hAnsi="Times New Roman" w:cs="Times New Roman"/>
          <w:color w:val="000000"/>
          <w:sz w:val="28"/>
          <w:szCs w:val="28"/>
        </w:rPr>
        <w:t xml:space="preserve"> определяемые с помощью масс-спектрометрии, могут служить потенциальными диагностическими маркерами септического шока, однако они требуют дальнейшего изучения. Применение окисленного фосфолипида </w:t>
      </w:r>
      <w:r w:rsidRPr="00B93B8F">
        <w:rPr>
          <w:rFonts w:ascii="Times New Roman" w:hAnsi="Times New Roman" w:cs="Times New Roman"/>
          <w:color w:val="000000"/>
          <w:sz w:val="28"/>
          <w:szCs w:val="28"/>
          <w:lang w:val="en-US"/>
        </w:rPr>
        <w:t>oxPAPC</w:t>
      </w:r>
      <w:r w:rsidRPr="00B93B8F">
        <w:rPr>
          <w:rFonts w:ascii="Times New Roman" w:hAnsi="Times New Roman" w:cs="Times New Roman"/>
          <w:color w:val="000000"/>
          <w:sz w:val="28"/>
          <w:szCs w:val="28"/>
        </w:rPr>
        <w:t xml:space="preserve"> (</w:t>
      </w:r>
      <w:proofErr w:type="spellStart"/>
      <w:r w:rsidRPr="00B93B8F">
        <w:rPr>
          <w:rStyle w:val="st1"/>
          <w:rFonts w:ascii="Times New Roman" w:hAnsi="Times New Roman" w:cs="Times New Roman"/>
          <w:sz w:val="28"/>
          <w:szCs w:val="28"/>
        </w:rPr>
        <w:t>Oxidized</w:t>
      </w:r>
      <w:proofErr w:type="spellEnd"/>
      <w:r w:rsidRPr="00B93B8F">
        <w:rPr>
          <w:rStyle w:val="st1"/>
          <w:rFonts w:ascii="Times New Roman" w:hAnsi="Times New Roman" w:cs="Times New Roman"/>
          <w:sz w:val="28"/>
          <w:szCs w:val="28"/>
        </w:rPr>
        <w:t xml:space="preserve"> 1-palmitoyl-2-arachidonoyl-sn-glycero-3-phosphocholine</w:t>
      </w:r>
      <w:r w:rsidRPr="00B93B8F">
        <w:rPr>
          <w:rFonts w:ascii="Times New Roman" w:hAnsi="Times New Roman" w:cs="Times New Roman"/>
          <w:color w:val="000000"/>
          <w:sz w:val="28"/>
          <w:szCs w:val="28"/>
        </w:rPr>
        <w:t xml:space="preserve">), сульфида водорода и белков, связывающих жирные кислоты </w:t>
      </w:r>
      <w:r w:rsidRPr="00B93B8F">
        <w:rPr>
          <w:rFonts w:ascii="Times New Roman" w:hAnsi="Times New Roman" w:cs="Times New Roman"/>
          <w:i/>
          <w:color w:val="000000"/>
          <w:sz w:val="28"/>
          <w:szCs w:val="28"/>
          <w:lang w:val="en-US"/>
        </w:rPr>
        <w:t>Fasciola</w:t>
      </w:r>
      <w:r w:rsidRPr="00B93B8F">
        <w:rPr>
          <w:rFonts w:ascii="Times New Roman" w:hAnsi="Times New Roman" w:cs="Times New Roman"/>
          <w:i/>
          <w:color w:val="000000"/>
          <w:sz w:val="28"/>
          <w:szCs w:val="28"/>
        </w:rPr>
        <w:t xml:space="preserve"> </w:t>
      </w:r>
      <w:r w:rsidRPr="00B93B8F">
        <w:rPr>
          <w:rFonts w:ascii="Times New Roman" w:hAnsi="Times New Roman" w:cs="Times New Roman"/>
          <w:i/>
          <w:color w:val="000000"/>
          <w:sz w:val="28"/>
          <w:szCs w:val="28"/>
          <w:lang w:val="en-US"/>
        </w:rPr>
        <w:t>hepatica</w:t>
      </w:r>
      <w:r w:rsidRPr="00B93B8F">
        <w:rPr>
          <w:rFonts w:ascii="Times New Roman" w:hAnsi="Times New Roman" w:cs="Times New Roman"/>
          <w:color w:val="000000"/>
          <w:sz w:val="28"/>
          <w:szCs w:val="28"/>
        </w:rPr>
        <w:t xml:space="preserve"> (печеночная двуустка) предотвращает окислительный стресс, синтез провоспалительных цитокинов и обеспечивает созревание макрофагов и дендритных клеток. Дальнейшее изучение имуннологических реакций в ходе септического шока имеет большое значение для обоснования новых подходов диагностики и терапии септического шока. </w:t>
      </w:r>
    </w:p>
    <w:p w:rsidR="00F16448" w:rsidRDefault="00F16448"/>
    <w:p w:rsidR="00F80A18" w:rsidRPr="00B93B8F" w:rsidRDefault="00F80A18" w:rsidP="00F80A18">
      <w:pPr>
        <w:spacing w:line="240" w:lineRule="auto"/>
        <w:jc w:val="both"/>
        <w:rPr>
          <w:rFonts w:ascii="Times New Roman" w:hAnsi="Times New Roman" w:cs="Times New Roman"/>
          <w:sz w:val="28"/>
          <w:szCs w:val="28"/>
          <w:lang w:val="en-US"/>
        </w:rPr>
      </w:pPr>
      <w:r w:rsidRPr="00B93B8F">
        <w:rPr>
          <w:b/>
          <w:sz w:val="28"/>
          <w:szCs w:val="28"/>
          <w:lang w:val="en-US"/>
        </w:rPr>
        <w:lastRenderedPageBreak/>
        <w:t xml:space="preserve">Abstract. </w:t>
      </w:r>
      <w:r w:rsidRPr="00B93B8F">
        <w:rPr>
          <w:rFonts w:ascii="Times New Roman" w:eastAsia="Times New Roman" w:hAnsi="Times New Roman" w:cs="Times New Roman"/>
          <w:sz w:val="28"/>
          <w:szCs w:val="28"/>
          <w:lang w:eastAsia="ru-RU"/>
        </w:rPr>
        <w:t xml:space="preserve">Based on the III International Consensus on the definition of Sepsis and Septic Shock (Sepsis-3), the modern definition of septic shock was recognized: “Septic shock is a type of sepsis that is accompanied by severe hemodynamic, metabolic and cellular disorders, and these disorders are associated with a higher risk fatal outcome." </w:t>
      </w:r>
      <w:r w:rsidRPr="00B93B8F">
        <w:rPr>
          <w:rStyle w:val="notranslate"/>
          <w:rFonts w:ascii="Times New Roman" w:hAnsi="Times New Roman" w:cs="Times New Roman"/>
          <w:sz w:val="28"/>
          <w:szCs w:val="28"/>
          <w:lang w:val="en-US"/>
        </w:rPr>
        <w:t xml:space="preserve">Despite the classic idea of ​​the development of septic shock (proinflammatory, </w:t>
      </w:r>
      <w:r w:rsidRPr="00B93B8F">
        <w:rPr>
          <w:rFonts w:ascii="Times New Roman" w:eastAsia="Times New Roman" w:hAnsi="Times New Roman" w:cs="Times New Roman"/>
          <w:sz w:val="28"/>
          <w:szCs w:val="28"/>
          <w:lang w:eastAsia="ru-RU"/>
        </w:rPr>
        <w:t>immunosuppressive</w:t>
      </w:r>
      <w:r w:rsidRPr="00B93B8F">
        <w:rPr>
          <w:rStyle w:val="notranslate"/>
          <w:rFonts w:ascii="Times New Roman" w:hAnsi="Times New Roman" w:cs="Times New Roman"/>
          <w:sz w:val="28"/>
          <w:szCs w:val="28"/>
          <w:lang w:val="en-US"/>
        </w:rPr>
        <w:t xml:space="preserve"> phases </w:t>
      </w:r>
      <w:proofErr w:type="gramStart"/>
      <w:r w:rsidRPr="00B93B8F">
        <w:rPr>
          <w:rStyle w:val="notranslate"/>
          <w:rFonts w:ascii="Times New Roman" w:hAnsi="Times New Roman" w:cs="Times New Roman"/>
          <w:sz w:val="28"/>
          <w:szCs w:val="28"/>
          <w:lang w:val="en-US"/>
        </w:rPr>
        <w:t xml:space="preserve">and  </w:t>
      </w:r>
      <w:r w:rsidRPr="00B93B8F">
        <w:rPr>
          <w:rStyle w:val="tlid-translation"/>
          <w:rFonts w:ascii="Times New Roman" w:hAnsi="Times New Roman" w:cs="Times New Roman"/>
          <w:sz w:val="28"/>
          <w:szCs w:val="28"/>
          <w:lang/>
        </w:rPr>
        <w:t>stage</w:t>
      </w:r>
      <w:proofErr w:type="gramEnd"/>
      <w:r w:rsidRPr="00B93B8F">
        <w:rPr>
          <w:rStyle w:val="tlid-translation"/>
          <w:rFonts w:ascii="Times New Roman" w:hAnsi="Times New Roman" w:cs="Times New Roman"/>
          <w:sz w:val="28"/>
          <w:szCs w:val="28"/>
          <w:lang/>
        </w:rPr>
        <w:t xml:space="preserve"> of multiple organ failure with the formation of shock organs</w:t>
      </w:r>
      <w:r w:rsidRPr="00B93B8F">
        <w:rPr>
          <w:rStyle w:val="notranslate"/>
          <w:rFonts w:ascii="Times New Roman" w:hAnsi="Times New Roman" w:cs="Times New Roman"/>
          <w:sz w:val="28"/>
          <w:szCs w:val="28"/>
          <w:lang w:val="en-US"/>
        </w:rPr>
        <w:t>), the theory of activation of the caspase, endocannabioid system and system of protein of programmed death-1 in the formation of septic shock are promising approaches in the development of new diagnostic and therapeutic methods.</w:t>
      </w:r>
      <w:r w:rsidRPr="00B93B8F">
        <w:rPr>
          <w:rStyle w:val="notranslate"/>
          <w:sz w:val="28"/>
          <w:szCs w:val="28"/>
          <w:lang/>
        </w:rPr>
        <w:t xml:space="preserve"> </w:t>
      </w:r>
      <w:proofErr w:type="spellStart"/>
      <w:r w:rsidRPr="00B93B8F">
        <w:rPr>
          <w:rFonts w:ascii="Times New Roman" w:eastAsia="Times New Roman" w:hAnsi="Times New Roman" w:cs="Times New Roman"/>
          <w:sz w:val="28"/>
          <w:szCs w:val="28"/>
          <w:lang w:eastAsia="ru-RU"/>
        </w:rPr>
        <w:t>Lymphopenia</w:t>
      </w:r>
      <w:proofErr w:type="spellEnd"/>
      <w:r w:rsidRPr="00B93B8F">
        <w:rPr>
          <w:rFonts w:ascii="Times New Roman" w:eastAsia="Times New Roman" w:hAnsi="Times New Roman" w:cs="Times New Roman"/>
          <w:sz w:val="28"/>
          <w:szCs w:val="28"/>
          <w:lang w:eastAsia="ru-RU"/>
        </w:rPr>
        <w:t xml:space="preserve"> is already observed at an early stage of septic shock, which further leads to deep immunosuppression.</w:t>
      </w:r>
      <w:r w:rsidRPr="00B93B8F">
        <w:rPr>
          <w:rStyle w:val="notranslate"/>
          <w:sz w:val="28"/>
          <w:szCs w:val="28"/>
          <w:lang/>
        </w:rPr>
        <w:t xml:space="preserve"> </w:t>
      </w:r>
      <w:r w:rsidRPr="00B93B8F">
        <w:rPr>
          <w:rStyle w:val="tlid-translation"/>
          <w:rFonts w:ascii="Times New Roman" w:hAnsi="Times New Roman" w:cs="Times New Roman"/>
          <w:sz w:val="28"/>
          <w:szCs w:val="28"/>
          <w:lang/>
        </w:rPr>
        <w:t>Previous</w:t>
      </w:r>
      <w:r w:rsidRPr="00B93B8F">
        <w:rPr>
          <w:rFonts w:ascii="Times New Roman" w:eastAsia="Times New Roman" w:hAnsi="Times New Roman" w:cs="Times New Roman"/>
          <w:sz w:val="28"/>
          <w:szCs w:val="28"/>
          <w:lang w:eastAsia="ru-RU"/>
        </w:rPr>
        <w:t xml:space="preserve"> studies on treatment developed methods to reduce the pro-inflammatory stage, which did not give the desired result among patients. Now it is necessary to look for ways to inhibit apoptosis, depletion of lymphocytes, macrophages and other immune cells in the course of septic shock.</w:t>
      </w:r>
      <w:r w:rsidRPr="00B93B8F">
        <w:rPr>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Известно</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что</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воспалительные</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каспазы</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опосредуют</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врожденное</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обнаружение</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патогенных</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микроорганизмов</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вызывают</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пироптоз</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активацию</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моноцитов</w:t>
      </w:r>
      <w:r w:rsidRPr="00B93B8F">
        <w:rPr>
          <w:rStyle w:val="google-src-text1"/>
          <w:rFonts w:ascii="Times New Roman" w:hAnsi="Times New Roman" w:cs="Times New Roman"/>
          <w:sz w:val="28"/>
          <w:szCs w:val="28"/>
          <w:lang w:val="en-US"/>
        </w:rPr>
        <w:t>.</w:t>
      </w:r>
      <w:r w:rsidRPr="00B93B8F">
        <w:rPr>
          <w:rStyle w:val="notranslate"/>
          <w:rFonts w:ascii="Times New Roman" w:hAnsi="Times New Roman" w:cs="Times New Roman"/>
          <w:sz w:val="28"/>
          <w:szCs w:val="28"/>
          <w:lang w:val="en-US"/>
        </w:rPr>
        <w:t xml:space="preserve"> It is known that caspases mediate the innate detection of pathogenic microorganisms, cause pyroptosis, activation of monocytes.</w:t>
      </w:r>
      <w:r w:rsidRPr="00B93B8F">
        <w:rPr>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Доказано</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что</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ингибирование</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каспаз</w:t>
      </w:r>
      <w:r w:rsidRPr="00B93B8F">
        <w:rPr>
          <w:rStyle w:val="google-src-text1"/>
          <w:rFonts w:ascii="Times New Roman" w:hAnsi="Times New Roman" w:cs="Times New Roman"/>
          <w:sz w:val="28"/>
          <w:szCs w:val="28"/>
          <w:lang w:val="en-US"/>
        </w:rPr>
        <w:t xml:space="preserve">-8, </w:t>
      </w:r>
      <w:r w:rsidRPr="00B93B8F">
        <w:rPr>
          <w:rStyle w:val="google-src-text1"/>
          <w:rFonts w:ascii="Times New Roman" w:hAnsi="Times New Roman" w:cs="Times New Roman"/>
          <w:sz w:val="28"/>
          <w:szCs w:val="28"/>
        </w:rPr>
        <w:t>каспаз</w:t>
      </w:r>
      <w:r w:rsidRPr="00B93B8F">
        <w:rPr>
          <w:rStyle w:val="google-src-text1"/>
          <w:rFonts w:ascii="Times New Roman" w:hAnsi="Times New Roman" w:cs="Times New Roman"/>
          <w:sz w:val="28"/>
          <w:szCs w:val="28"/>
          <w:lang w:val="en-US"/>
        </w:rPr>
        <w:t xml:space="preserve">-11 </w:t>
      </w:r>
      <w:r w:rsidRPr="00B93B8F">
        <w:rPr>
          <w:rStyle w:val="google-src-text1"/>
          <w:rFonts w:ascii="Times New Roman" w:hAnsi="Times New Roman" w:cs="Times New Roman"/>
          <w:sz w:val="28"/>
          <w:szCs w:val="28"/>
        </w:rPr>
        <w:t>приводит</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к</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снижению</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функционирования</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моноцитов</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и</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высвобождению</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цитокинов</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что</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играет</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важную</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роль</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в</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иммунопатогенезе</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септического</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шока</w:t>
      </w:r>
      <w:r w:rsidRPr="00B93B8F">
        <w:rPr>
          <w:rStyle w:val="google-src-text1"/>
          <w:rFonts w:ascii="Times New Roman" w:hAnsi="Times New Roman" w:cs="Times New Roman"/>
          <w:sz w:val="28"/>
          <w:szCs w:val="28"/>
          <w:lang w:val="en-US"/>
        </w:rPr>
        <w:t>.</w:t>
      </w:r>
      <w:r w:rsidRPr="00B93B8F">
        <w:rPr>
          <w:rStyle w:val="notranslate"/>
          <w:rFonts w:ascii="Times New Roman" w:hAnsi="Times New Roman" w:cs="Times New Roman"/>
          <w:sz w:val="28"/>
          <w:szCs w:val="28"/>
          <w:lang w:val="en-US"/>
        </w:rPr>
        <w:t xml:space="preserve"> It has been proven that inhibition of caspase-8, caspase-11 leads to a decrease in the functioning of monocytes and the release of cytokines, which plays an important role in the immunopathogenesis of septic shock.</w:t>
      </w:r>
      <w:r w:rsidRPr="00B93B8F">
        <w:rPr>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Также</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показаны</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ассоциации</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экспрессии</w:t>
      </w:r>
      <w:r w:rsidRPr="00B93B8F">
        <w:rPr>
          <w:rStyle w:val="google-src-text1"/>
          <w:rFonts w:ascii="Times New Roman" w:hAnsi="Times New Roman" w:cs="Times New Roman"/>
          <w:sz w:val="28"/>
          <w:szCs w:val="28"/>
          <w:lang w:val="en-US"/>
        </w:rPr>
        <w:t xml:space="preserve"> PD -1 </w:t>
      </w:r>
      <w:r w:rsidRPr="00B93B8F">
        <w:rPr>
          <w:rStyle w:val="google-src-text1"/>
          <w:rFonts w:ascii="Times New Roman" w:hAnsi="Times New Roman" w:cs="Times New Roman"/>
          <w:sz w:val="28"/>
          <w:szCs w:val="28"/>
        </w:rPr>
        <w:t>и</w:t>
      </w:r>
      <w:r w:rsidRPr="00B93B8F">
        <w:rPr>
          <w:rStyle w:val="google-src-text1"/>
          <w:rFonts w:ascii="Times New Roman" w:hAnsi="Times New Roman" w:cs="Times New Roman"/>
          <w:sz w:val="28"/>
          <w:szCs w:val="28"/>
          <w:lang w:val="en-US"/>
        </w:rPr>
        <w:t xml:space="preserve"> PD -2 </w:t>
      </w:r>
      <w:r w:rsidRPr="00B93B8F">
        <w:rPr>
          <w:rStyle w:val="google-src-text1"/>
          <w:rFonts w:ascii="Times New Roman" w:hAnsi="Times New Roman" w:cs="Times New Roman"/>
          <w:sz w:val="28"/>
          <w:szCs w:val="28"/>
        </w:rPr>
        <w:t>на</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лимфоцитах</w:t>
      </w:r>
      <w:r w:rsidRPr="00B93B8F">
        <w:rPr>
          <w:rStyle w:val="google-src-text1"/>
          <w:rFonts w:ascii="Times New Roman" w:hAnsi="Times New Roman" w:cs="Times New Roman"/>
          <w:sz w:val="28"/>
          <w:szCs w:val="28"/>
          <w:lang w:val="en-US"/>
        </w:rPr>
        <w:t xml:space="preserve"> CD 4+ </w:t>
      </w:r>
      <w:r w:rsidRPr="00B93B8F">
        <w:rPr>
          <w:rStyle w:val="google-src-text1"/>
          <w:rFonts w:ascii="Times New Roman" w:hAnsi="Times New Roman" w:cs="Times New Roman"/>
          <w:sz w:val="28"/>
          <w:szCs w:val="28"/>
        </w:rPr>
        <w:t>и</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моноцитах</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с</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развитием</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иммунных</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дисфункций</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снижением</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пролиферации</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лимфоцитов</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и</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повышением</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концентрации</w:t>
      </w:r>
      <w:r w:rsidRPr="00B93B8F">
        <w:rPr>
          <w:rStyle w:val="google-src-text1"/>
          <w:rFonts w:ascii="Times New Roman" w:hAnsi="Times New Roman" w:cs="Times New Roman"/>
          <w:sz w:val="28"/>
          <w:szCs w:val="28"/>
          <w:lang w:val="en-US"/>
        </w:rPr>
        <w:t xml:space="preserve"> IL -10.</w:t>
      </w:r>
      <w:r w:rsidRPr="00B93B8F">
        <w:rPr>
          <w:rStyle w:val="notranslate"/>
          <w:rFonts w:ascii="Times New Roman" w:hAnsi="Times New Roman" w:cs="Times New Roman"/>
          <w:sz w:val="28"/>
          <w:szCs w:val="28"/>
          <w:lang w:val="en-US"/>
        </w:rPr>
        <w:t xml:space="preserve"> Associations of expression of PD-1 and PD-2 on CD 4+ lymphocytes and monocytes are also shown with the development of immune dysfunctions, a decrease in lymphocyte proliferation and an increase in the concentration of interleukin-10.</w:t>
      </w:r>
      <w:r w:rsidRPr="00B93B8F">
        <w:rPr>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Стимуляция</w:t>
      </w:r>
      <w:r w:rsidRPr="00B93B8F">
        <w:rPr>
          <w:rStyle w:val="google-src-text1"/>
          <w:rFonts w:ascii="Times New Roman" w:hAnsi="Times New Roman" w:cs="Times New Roman"/>
          <w:sz w:val="28"/>
          <w:szCs w:val="28"/>
          <w:lang w:val="en-US"/>
        </w:rPr>
        <w:t xml:space="preserve"> CB -2 </w:t>
      </w:r>
      <w:r w:rsidRPr="00B93B8F">
        <w:rPr>
          <w:rStyle w:val="google-src-text1"/>
          <w:rFonts w:ascii="Times New Roman" w:hAnsi="Times New Roman" w:cs="Times New Roman"/>
          <w:sz w:val="28"/>
          <w:szCs w:val="28"/>
        </w:rPr>
        <w:t>рецепторов</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способна</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ослаблять</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воспаление</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ингибируя</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цитопатическое</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и</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имуннодепрессивное</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действие</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патогенов</w:t>
      </w:r>
      <w:r w:rsidRPr="00B93B8F">
        <w:rPr>
          <w:rStyle w:val="google-src-text1"/>
          <w:rFonts w:ascii="Times New Roman" w:hAnsi="Times New Roman" w:cs="Times New Roman"/>
          <w:sz w:val="28"/>
          <w:szCs w:val="28"/>
          <w:lang w:val="en-US"/>
        </w:rPr>
        <w:t>.</w:t>
      </w:r>
      <w:r w:rsidRPr="00B93B8F">
        <w:rPr>
          <w:rStyle w:val="notranslate"/>
          <w:rFonts w:ascii="Times New Roman" w:hAnsi="Times New Roman" w:cs="Times New Roman"/>
          <w:sz w:val="28"/>
          <w:szCs w:val="28"/>
          <w:lang w:val="en-US"/>
        </w:rPr>
        <w:t xml:space="preserve"> Stimulation of the cannabinoid receptors is able to reduce inflammation by inhibiting the cytopathic and immunosuppressive effects of pathogens.</w:t>
      </w:r>
      <w:r w:rsidRPr="00B93B8F">
        <w:rPr>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Показано</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что</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классические</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биомаркеры</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септического</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шока</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провоспалительные</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противовоспалительные</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цитокины</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прокальцитонин</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лактат</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и</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др</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не</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обладают</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прогностической</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силой</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по</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отношению</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к</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исходу</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болезни</w:t>
      </w:r>
      <w:r w:rsidRPr="00B93B8F">
        <w:rPr>
          <w:rStyle w:val="google-src-text1"/>
          <w:rFonts w:ascii="Times New Roman" w:hAnsi="Times New Roman" w:cs="Times New Roman"/>
          <w:sz w:val="28"/>
          <w:szCs w:val="28"/>
          <w:lang w:val="en-US"/>
        </w:rPr>
        <w:t>.</w:t>
      </w:r>
      <w:r w:rsidRPr="00B93B8F">
        <w:rPr>
          <w:rStyle w:val="notranslate"/>
          <w:rFonts w:ascii="Times New Roman" w:hAnsi="Times New Roman" w:cs="Times New Roman"/>
          <w:sz w:val="28"/>
          <w:szCs w:val="28"/>
          <w:lang w:val="en-US"/>
        </w:rPr>
        <w:t xml:space="preserve"> It has been shown that classic septic shock biomarkers (pro-inflammatory, anti-inflammatory cytokines; procalcitonin, lactate, etc.) do not have predictive power in relation to the outcome of the disease. </w:t>
      </w:r>
      <w:r w:rsidRPr="00B93B8F">
        <w:rPr>
          <w:rStyle w:val="google-src-text1"/>
          <w:rFonts w:ascii="Times New Roman" w:hAnsi="Times New Roman" w:cs="Times New Roman"/>
          <w:sz w:val="28"/>
          <w:szCs w:val="28"/>
        </w:rPr>
        <w:t>Циркулирующие</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и</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цитрулированные</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гистоны</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плазмы</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крови</w:t>
      </w:r>
      <w:r w:rsidRPr="00B93B8F">
        <w:rPr>
          <w:rStyle w:val="google-src-text1"/>
          <w:rFonts w:ascii="Times New Roman" w:hAnsi="Times New Roman" w:cs="Times New Roman"/>
          <w:sz w:val="28"/>
          <w:szCs w:val="28"/>
          <w:lang w:val="en-US"/>
        </w:rPr>
        <w:t xml:space="preserve"> H 3 </w:t>
      </w:r>
      <w:r w:rsidRPr="00B93B8F">
        <w:rPr>
          <w:rStyle w:val="google-src-text1"/>
          <w:rFonts w:ascii="Times New Roman" w:hAnsi="Times New Roman" w:cs="Times New Roman"/>
          <w:sz w:val="28"/>
          <w:szCs w:val="28"/>
        </w:rPr>
        <w:t>и</w:t>
      </w:r>
      <w:r w:rsidRPr="00B93B8F">
        <w:rPr>
          <w:rStyle w:val="google-src-text1"/>
          <w:rFonts w:ascii="Times New Roman" w:hAnsi="Times New Roman" w:cs="Times New Roman"/>
          <w:sz w:val="28"/>
          <w:szCs w:val="28"/>
          <w:lang w:val="en-US"/>
        </w:rPr>
        <w:t xml:space="preserve"> Cit</w:t>
      </w:r>
      <w:r w:rsidRPr="00B93B8F">
        <w:rPr>
          <w:rStyle w:val="notranslate"/>
          <w:rFonts w:ascii="Times New Roman" w:hAnsi="Times New Roman" w:cs="Times New Roman"/>
          <w:sz w:val="28"/>
          <w:szCs w:val="28"/>
          <w:lang w:val="en-US"/>
        </w:rPr>
        <w:t>Circulating and citrulated histones, determined by mass spectrometry, may serve as potential diagnostic markers of septic shock, but they require further study.</w:t>
      </w:r>
      <w:r w:rsidRPr="00B93B8F">
        <w:rPr>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Применение</w:t>
      </w:r>
      <w:r w:rsidRPr="00B93B8F">
        <w:rPr>
          <w:rStyle w:val="google-src-text1"/>
          <w:rFonts w:ascii="Times New Roman" w:hAnsi="Times New Roman" w:cs="Times New Roman"/>
          <w:sz w:val="28"/>
          <w:szCs w:val="28"/>
          <w:lang w:val="en-US"/>
        </w:rPr>
        <w:t xml:space="preserve"> oxPAPC , </w:t>
      </w:r>
      <w:r w:rsidRPr="00B93B8F">
        <w:rPr>
          <w:rStyle w:val="google-src-text1"/>
          <w:rFonts w:ascii="Times New Roman" w:hAnsi="Times New Roman" w:cs="Times New Roman"/>
          <w:sz w:val="28"/>
          <w:szCs w:val="28"/>
        </w:rPr>
        <w:t>сульфида</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водорода</w:t>
      </w:r>
      <w:r w:rsidRPr="00B93B8F">
        <w:rPr>
          <w:rStyle w:val="google-src-text1"/>
          <w:rFonts w:ascii="Times New Roman" w:hAnsi="Times New Roman" w:cs="Times New Roman"/>
          <w:sz w:val="28"/>
          <w:szCs w:val="28"/>
          <w:lang w:val="en-US"/>
        </w:rPr>
        <w:t xml:space="preserve"> ( H 2 S ) </w:t>
      </w:r>
      <w:r w:rsidRPr="00B93B8F">
        <w:rPr>
          <w:rStyle w:val="google-src-text1"/>
          <w:rFonts w:ascii="Times New Roman" w:hAnsi="Times New Roman" w:cs="Times New Roman"/>
          <w:sz w:val="28"/>
          <w:szCs w:val="28"/>
        </w:rPr>
        <w:t>и</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белков</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связывающих</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жирные</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кислоты</w:t>
      </w:r>
      <w:r w:rsidRPr="00B93B8F">
        <w:rPr>
          <w:rStyle w:val="google-src-text1"/>
          <w:rFonts w:ascii="Times New Roman" w:hAnsi="Times New Roman" w:cs="Times New Roman"/>
          <w:sz w:val="28"/>
          <w:szCs w:val="28"/>
          <w:lang w:val="en-US"/>
        </w:rPr>
        <w:t xml:space="preserve"> Fasciola</w:t>
      </w:r>
      <w:r w:rsidRPr="00B93B8F">
        <w:rPr>
          <w:rStyle w:val="notranslate"/>
          <w:rFonts w:ascii="Times New Roman" w:hAnsi="Times New Roman" w:cs="Times New Roman"/>
          <w:sz w:val="28"/>
          <w:szCs w:val="28"/>
          <w:lang w:val="en-US"/>
        </w:rPr>
        <w:t xml:space="preserve"> Use of </w:t>
      </w:r>
      <w:r w:rsidRPr="00B93B8F">
        <w:rPr>
          <w:rFonts w:ascii="Times New Roman" w:hAnsi="Times New Roman" w:cs="Times New Roman"/>
          <w:sz w:val="28"/>
          <w:szCs w:val="28"/>
          <w:lang w:val="en-US"/>
        </w:rPr>
        <w:t xml:space="preserve">oxidized </w:t>
      </w:r>
      <w:proofErr w:type="spellStart"/>
      <w:r w:rsidRPr="00B93B8F">
        <w:rPr>
          <w:rFonts w:ascii="Times New Roman" w:hAnsi="Times New Roman" w:cs="Times New Roman"/>
          <w:sz w:val="28"/>
          <w:szCs w:val="28"/>
          <w:lang w:val="en-US"/>
        </w:rPr>
        <w:t>phospholipid</w:t>
      </w:r>
      <w:proofErr w:type="spellEnd"/>
      <w:r w:rsidRPr="00B93B8F">
        <w:rPr>
          <w:rStyle w:val="notranslate"/>
          <w:rFonts w:ascii="Times New Roman" w:hAnsi="Times New Roman" w:cs="Times New Roman"/>
          <w:sz w:val="28"/>
          <w:szCs w:val="28"/>
          <w:lang w:val="en-US"/>
        </w:rPr>
        <w:t xml:space="preserve"> oxPAPC</w:t>
      </w:r>
      <w:r w:rsidRPr="00B93B8F">
        <w:rPr>
          <w:rFonts w:ascii="Times New Roman" w:hAnsi="Times New Roman" w:cs="Times New Roman"/>
          <w:color w:val="000000"/>
          <w:sz w:val="28"/>
          <w:szCs w:val="28"/>
          <w:lang w:val="en-US"/>
        </w:rPr>
        <w:t xml:space="preserve"> (</w:t>
      </w:r>
      <w:r w:rsidRPr="00B93B8F">
        <w:rPr>
          <w:rStyle w:val="st1"/>
          <w:rFonts w:ascii="Times New Roman" w:hAnsi="Times New Roman" w:cs="Times New Roman"/>
          <w:sz w:val="28"/>
          <w:szCs w:val="28"/>
          <w:lang w:val="en-US"/>
        </w:rPr>
        <w:t>Oxidized 1-palmitoyl-2-arachidonoyl-sn-glycero-3-phosphocholine</w:t>
      </w:r>
      <w:r w:rsidRPr="00B93B8F">
        <w:rPr>
          <w:rFonts w:ascii="Times New Roman" w:hAnsi="Times New Roman" w:cs="Times New Roman"/>
          <w:color w:val="000000"/>
          <w:sz w:val="28"/>
          <w:szCs w:val="28"/>
          <w:lang w:val="en-US"/>
        </w:rPr>
        <w:t>)</w:t>
      </w:r>
      <w:r w:rsidRPr="00B93B8F">
        <w:rPr>
          <w:rStyle w:val="notranslate"/>
          <w:rFonts w:ascii="Times New Roman" w:hAnsi="Times New Roman" w:cs="Times New Roman"/>
          <w:sz w:val="28"/>
          <w:szCs w:val="28"/>
          <w:lang w:val="en-US"/>
        </w:rPr>
        <w:t>, hydrogen sulfide and Fasciola hepatica fatty acid binding proteins</w:t>
      </w:r>
      <w:r w:rsidRPr="00B93B8F">
        <w:rPr>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lang w:val="en-US"/>
        </w:rPr>
        <w:t>hepatica (</w:t>
      </w:r>
      <w:r w:rsidRPr="00B93B8F">
        <w:rPr>
          <w:rStyle w:val="google-src-text1"/>
          <w:rFonts w:ascii="Times New Roman" w:hAnsi="Times New Roman" w:cs="Times New Roman"/>
          <w:sz w:val="28"/>
          <w:szCs w:val="28"/>
        </w:rPr>
        <w:t>печеночная</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двуустка</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предотвращает</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окислительный</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стресс</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синтез</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провоспалительных</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цитокинов</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и</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обеспечивает</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созревание</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макрофагов</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и</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дендритных</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клеток</w:t>
      </w:r>
      <w:r w:rsidRPr="00B93B8F">
        <w:rPr>
          <w:rStyle w:val="google-src-text1"/>
          <w:rFonts w:ascii="Times New Roman" w:hAnsi="Times New Roman" w:cs="Times New Roman"/>
          <w:sz w:val="28"/>
          <w:szCs w:val="28"/>
          <w:lang w:val="en-US"/>
        </w:rPr>
        <w:t>.</w:t>
      </w:r>
      <w:r w:rsidRPr="00B93B8F">
        <w:rPr>
          <w:rStyle w:val="notranslate"/>
          <w:rFonts w:ascii="Times New Roman" w:hAnsi="Times New Roman" w:cs="Times New Roman"/>
          <w:sz w:val="28"/>
          <w:szCs w:val="28"/>
          <w:lang w:val="en-US"/>
        </w:rPr>
        <w:t xml:space="preserve"> (hepatic fluke) prevents oxidative stress, synthesis of pro-inflammatory cytokines and ensures the maturation of macrophages and dendritic cells.</w:t>
      </w:r>
      <w:r w:rsidRPr="00B93B8F">
        <w:rPr>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Дальнейшее</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изучение</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имуннологических</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реакций</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в</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ходе</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септического</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шока</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имеет</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большое</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значение</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для</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обоснования</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новых</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подходов</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диагностики</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и</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терапии</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септического</w:t>
      </w:r>
      <w:r w:rsidRPr="00B93B8F">
        <w:rPr>
          <w:rStyle w:val="google-src-text1"/>
          <w:rFonts w:ascii="Times New Roman" w:hAnsi="Times New Roman" w:cs="Times New Roman"/>
          <w:sz w:val="28"/>
          <w:szCs w:val="28"/>
          <w:lang w:val="en-US"/>
        </w:rPr>
        <w:t xml:space="preserve"> </w:t>
      </w:r>
      <w:r w:rsidRPr="00B93B8F">
        <w:rPr>
          <w:rStyle w:val="google-src-text1"/>
          <w:rFonts w:ascii="Times New Roman" w:hAnsi="Times New Roman" w:cs="Times New Roman"/>
          <w:sz w:val="28"/>
          <w:szCs w:val="28"/>
        </w:rPr>
        <w:t>шока</w:t>
      </w:r>
      <w:r w:rsidRPr="00B93B8F">
        <w:rPr>
          <w:rStyle w:val="google-src-text1"/>
          <w:rFonts w:ascii="Times New Roman" w:hAnsi="Times New Roman" w:cs="Times New Roman"/>
          <w:sz w:val="28"/>
          <w:szCs w:val="28"/>
          <w:lang w:val="en-US"/>
        </w:rPr>
        <w:t>.</w:t>
      </w:r>
      <w:r w:rsidRPr="00B93B8F">
        <w:rPr>
          <w:rStyle w:val="notranslate"/>
          <w:rFonts w:ascii="Times New Roman" w:hAnsi="Times New Roman" w:cs="Times New Roman"/>
          <w:sz w:val="28"/>
          <w:szCs w:val="28"/>
          <w:lang w:val="en-US"/>
        </w:rPr>
        <w:t xml:space="preserve"> Further study of immunological reactions during septic shock has a great importance for substantiating new approaches to the diagnostics and therapy of septic shock.</w:t>
      </w:r>
      <w:r w:rsidRPr="00B93B8F">
        <w:rPr>
          <w:rFonts w:ascii="Times New Roman" w:hAnsi="Times New Roman" w:cs="Times New Roman"/>
          <w:sz w:val="28"/>
          <w:szCs w:val="28"/>
          <w:lang w:val="en-US"/>
        </w:rPr>
        <w:t xml:space="preserve"> </w:t>
      </w:r>
    </w:p>
    <w:p w:rsidR="00F80A18" w:rsidRPr="00F80A18" w:rsidRDefault="00F80A18">
      <w:pPr>
        <w:rPr>
          <w:lang w:val="en-US"/>
        </w:rPr>
      </w:pPr>
    </w:p>
    <w:sectPr w:rsidR="00F80A18" w:rsidRPr="00F80A18" w:rsidSect="00F164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8C424A"/>
    <w:rsid w:val="008C424A"/>
    <w:rsid w:val="00F16448"/>
    <w:rsid w:val="00F80A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A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
    <w:name w:val="st1"/>
    <w:basedOn w:val="a0"/>
    <w:rsid w:val="00F80A18"/>
  </w:style>
  <w:style w:type="character" w:customStyle="1" w:styleId="notranslate">
    <w:name w:val="notranslate"/>
    <w:basedOn w:val="a0"/>
    <w:rsid w:val="00F80A18"/>
  </w:style>
  <w:style w:type="character" w:customStyle="1" w:styleId="google-src-text1">
    <w:name w:val="google-src-text1"/>
    <w:basedOn w:val="a0"/>
    <w:rsid w:val="00F80A18"/>
    <w:rPr>
      <w:vanish/>
      <w:webHidden w:val="0"/>
      <w:specVanish w:val="0"/>
    </w:rPr>
  </w:style>
  <w:style w:type="character" w:customStyle="1" w:styleId="tlid-translation">
    <w:name w:val="tlid-translation"/>
    <w:basedOn w:val="a0"/>
    <w:rsid w:val="00F80A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1027</Words>
  <Characters>5856</Characters>
  <Application>Microsoft Office Word</Application>
  <DocSecurity>0</DocSecurity>
  <Lines>48</Lines>
  <Paragraphs>13</Paragraphs>
  <ScaleCrop>false</ScaleCrop>
  <Company>Grizli777</Company>
  <LinksUpToDate>false</LinksUpToDate>
  <CharactersWithSpaces>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2019-09-14T17:38:00Z</dcterms:created>
  <dcterms:modified xsi:type="dcterms:W3CDTF">2019-09-14T17:39:00Z</dcterms:modified>
</cp:coreProperties>
</file>