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A8452" w14:textId="56A11F59" w:rsidR="00352FA2" w:rsidRPr="000B6AC8" w:rsidRDefault="00797A1A" w:rsidP="00797A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0B6AC8">
        <w:rPr>
          <w:rFonts w:ascii="Times New Roman" w:hAnsi="Times New Roman" w:cs="Times New Roman"/>
          <w:sz w:val="28"/>
          <w:szCs w:val="28"/>
          <w:lang w:val="en-US"/>
        </w:rPr>
        <w:t>/REFERENCES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6"/>
        <w:gridCol w:w="4384"/>
        <w:gridCol w:w="5393"/>
        <w:gridCol w:w="4820"/>
      </w:tblGrid>
      <w:tr w:rsidR="00797A1A" w:rsidRPr="00797A1A" w14:paraId="0A9FB757" w14:textId="77777777" w:rsidTr="00C84CE6">
        <w:tc>
          <w:tcPr>
            <w:tcW w:w="566" w:type="dxa"/>
            <w:hideMark/>
          </w:tcPr>
          <w:p w14:paraId="7B4F9E5D" w14:textId="39732EA4" w:rsidR="00797A1A" w:rsidRPr="00797A1A" w:rsidRDefault="002D7AFC" w:rsidP="00797A1A">
            <w:pPr>
              <w:spacing w:before="240" w:after="240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84" w:type="dxa"/>
            <w:hideMark/>
          </w:tcPr>
          <w:p w14:paraId="387B6280" w14:textId="77777777" w:rsidR="00797A1A" w:rsidRPr="00797A1A" w:rsidRDefault="00797A1A" w:rsidP="00797A1A">
            <w:pPr>
              <w:spacing w:before="240" w:after="240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797A1A">
              <w:rPr>
                <w:rFonts w:ascii="Times New Roman" w:eastAsia="Times New Roman" w:hAnsi="Times New Roman" w:cs="Times New Roman"/>
                <w:bCs/>
                <w:color w:val="606060"/>
                <w:sz w:val="28"/>
                <w:szCs w:val="28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5393" w:type="dxa"/>
            <w:hideMark/>
          </w:tcPr>
          <w:p w14:paraId="707EA722" w14:textId="77777777" w:rsidR="00797A1A" w:rsidRPr="00797A1A" w:rsidRDefault="00797A1A" w:rsidP="00797A1A">
            <w:pPr>
              <w:spacing w:before="240" w:after="240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797A1A">
              <w:rPr>
                <w:rFonts w:ascii="Times New Roman" w:eastAsia="Times New Roman" w:hAnsi="Times New Roman" w:cs="Times New Roman"/>
                <w:bCs/>
                <w:color w:val="606060"/>
                <w:sz w:val="28"/>
                <w:szCs w:val="28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4820" w:type="dxa"/>
            <w:hideMark/>
          </w:tcPr>
          <w:p w14:paraId="45DEAD00" w14:textId="77777777" w:rsidR="00797A1A" w:rsidRPr="00797A1A" w:rsidRDefault="00797A1A" w:rsidP="00797A1A">
            <w:pPr>
              <w:spacing w:before="240" w:after="240"/>
              <w:rPr>
                <w:rFonts w:ascii="Times New Roman" w:eastAsia="Times New Roman" w:hAnsi="Times New Roman" w:cs="Times New Roman"/>
                <w:color w:val="606060"/>
                <w:sz w:val="28"/>
                <w:szCs w:val="28"/>
                <w:lang w:eastAsia="ru-RU"/>
              </w:rPr>
            </w:pPr>
            <w:r w:rsidRPr="00797A1A">
              <w:rPr>
                <w:rFonts w:ascii="Times New Roman" w:eastAsia="Times New Roman" w:hAnsi="Times New Roman" w:cs="Times New Roman"/>
                <w:bCs/>
                <w:color w:val="606060"/>
                <w:sz w:val="28"/>
                <w:szCs w:val="28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797A1A">
              <w:rPr>
                <w:rFonts w:ascii="Times New Roman" w:eastAsia="Times New Roman" w:hAnsi="Times New Roman" w:cs="Times New Roman"/>
                <w:bCs/>
                <w:color w:val="606060"/>
                <w:sz w:val="28"/>
                <w:szCs w:val="28"/>
                <w:lang w:eastAsia="ru-RU"/>
              </w:rPr>
              <w:t>doi</w:t>
            </w:r>
            <w:proofErr w:type="spellEnd"/>
            <w:r w:rsidRPr="00797A1A">
              <w:rPr>
                <w:rFonts w:ascii="Times New Roman" w:eastAsia="Times New Roman" w:hAnsi="Times New Roman" w:cs="Times New Roman"/>
                <w:bCs/>
                <w:color w:val="606060"/>
                <w:sz w:val="28"/>
                <w:szCs w:val="28"/>
                <w:lang w:eastAsia="ru-RU"/>
              </w:rPr>
              <w:t>.</w:t>
            </w:r>
          </w:p>
        </w:tc>
      </w:tr>
      <w:tr w:rsidR="00797A1A" w:rsidRPr="00F07DB0" w14:paraId="22D0407B" w14:textId="77777777" w:rsidTr="00C84CE6">
        <w:tc>
          <w:tcPr>
            <w:tcW w:w="566" w:type="dxa"/>
          </w:tcPr>
          <w:p w14:paraId="46FDCE99" w14:textId="6BC55604" w:rsidR="00797A1A" w:rsidRDefault="00797A1A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84" w:type="dxa"/>
          </w:tcPr>
          <w:p w14:paraId="5CFA940B" w14:textId="77777777" w:rsidR="002D7AFC" w:rsidRDefault="002D7AFC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Васина Л.В., Иванов Г.А., Луговая А.В., Морозова Л.Ю. </w:t>
            </w:r>
          </w:p>
          <w:p w14:paraId="11EB8C57" w14:textId="3F985570" w:rsidR="00797A1A" w:rsidRPr="00063E5A" w:rsidRDefault="002D7AFC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>Изменение циркулирующих CD59+-лимфоцитов периферической крови при остром коронарном синдроме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Вестник Санкт-Петербургского государственного университета. 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3E5A">
              <w:t xml:space="preserve"> 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166F3" w:rsidRPr="002D7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63E5A"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r w:rsidR="004166F3" w:rsidRPr="002D7AFC">
              <w:rPr>
                <w:rFonts w:ascii="Times New Roman" w:hAnsi="Times New Roman" w:cs="Times New Roman"/>
                <w:sz w:val="28"/>
                <w:szCs w:val="28"/>
              </w:rPr>
              <w:t>6-12.</w:t>
            </w:r>
          </w:p>
        </w:tc>
        <w:tc>
          <w:tcPr>
            <w:tcW w:w="5393" w:type="dxa"/>
          </w:tcPr>
          <w:p w14:paraId="6B9BE2E6" w14:textId="432E3628" w:rsidR="00826AFD" w:rsidRPr="00C7051C" w:rsidRDefault="00826AFD" w:rsidP="0082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Vasina</w:t>
            </w:r>
            <w:proofErr w:type="spellEnd"/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Ivanov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Lugovaya</w:t>
            </w:r>
            <w:proofErr w:type="spellEnd"/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Morozova</w:t>
            </w:r>
            <w:proofErr w:type="spellEnd"/>
            <w:r w:rsidRPr="00C70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</w:t>
            </w:r>
            <w:r w:rsidRPr="00C705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670A45" w14:textId="77777777" w:rsidR="00797A1A" w:rsidRDefault="00826AFD" w:rsidP="00826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Change of </w:t>
            </w:r>
            <w:r w:rsidR="00934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26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ontent of circulating CD59-"positive" cells of peripheral blood at acute coronary syndrome</w:t>
            </w:r>
            <w:r w:rsid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473A765" w14:textId="5936AAE1" w:rsidR="004166F3" w:rsidRPr="00826AFD" w:rsidRDefault="004166F3" w:rsidP="00826A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VestnikSpbu</w:t>
            </w:r>
            <w:proofErr w:type="spellEnd"/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7051C"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(Russia)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C6427F"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no. 1, pp. 6</w:t>
            </w:r>
            <w:r w:rsidR="00C6427F"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6427F"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(In Russ.)</w:t>
            </w:r>
          </w:p>
        </w:tc>
        <w:tc>
          <w:tcPr>
            <w:tcW w:w="4820" w:type="dxa"/>
          </w:tcPr>
          <w:p w14:paraId="1F258237" w14:textId="65E969EB" w:rsidR="00797A1A" w:rsidRDefault="00597186" w:rsidP="00B76B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gramStart"/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URL:http://</w:t>
            </w:r>
            <w:r w:rsidR="009414D4" w:rsidRPr="009414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elibrary.ru/item.asp.id</w:t>
            </w:r>
            <w:proofErr w:type="gramEnd"/>
            <w:r w:rsidR="009414D4" w:rsidRPr="009414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</w:t>
            </w:r>
            <w:r w:rsidR="009B2996" w:rsidRPr="009B2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10435786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33E9939A" w14:textId="1B9539E4" w:rsidR="009B2996" w:rsidRPr="00B76B52" w:rsidRDefault="009B2996" w:rsidP="00B76B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7A1A" w:rsidRPr="00F07DB0" w14:paraId="1BDE1B50" w14:textId="77777777" w:rsidTr="00C84CE6">
        <w:tc>
          <w:tcPr>
            <w:tcW w:w="566" w:type="dxa"/>
          </w:tcPr>
          <w:p w14:paraId="2A4677BE" w14:textId="4901FB77" w:rsidR="00797A1A" w:rsidRDefault="00797A1A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84" w:type="dxa"/>
          </w:tcPr>
          <w:p w14:paraId="6C6C6B51" w14:textId="6BC4257F" w:rsidR="00797A1A" w:rsidRDefault="002D7AFC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Васина Л.В., Луговая А.В., Петрищев Н.Н., Серебряная Н.Б. Патогенетическое значение изменения относительного содержания </w:t>
            </w:r>
            <w:proofErr w:type="spellStart"/>
            <w:r w:rsidRPr="002D7AFC">
              <w:rPr>
                <w:rFonts w:ascii="Times New Roman" w:hAnsi="Times New Roman" w:cs="Times New Roman"/>
                <w:sz w:val="28"/>
                <w:szCs w:val="28"/>
              </w:rPr>
              <w:t>аннексин</w:t>
            </w:r>
            <w:proofErr w:type="spellEnd"/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 V+-мононуклеаров и CD59+-лимфоцитов периферической крови при остром коронарном синдроме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Медико-биологические и социально-психологические проблемы безопасности в чрезвычайных ситуациях. 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 xml:space="preserve">2008. – №1. – С. 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393" w:type="dxa"/>
          </w:tcPr>
          <w:p w14:paraId="49A37102" w14:textId="77777777" w:rsidR="00182A56" w:rsidRPr="00182A56" w:rsidRDefault="00182A56" w:rsidP="00182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Vasina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Lugovaya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Petrischev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Serebryanaya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82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ECABB3" w14:textId="77777777" w:rsidR="00797A1A" w:rsidRDefault="00182A56" w:rsidP="008A48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athogenic significance of relative alteration in V-binding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mononuclears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 59+-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lymphocytes of peripheral blood</w:t>
            </w:r>
            <w:r w:rsid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patients with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A4821" w:rsidRP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acute coronary syndrome</w:t>
            </w:r>
            <w:r w:rsid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65E0494" w14:textId="44917541" w:rsidR="005D13FB" w:rsidRPr="00C6427F" w:rsidRDefault="005D13FB" w:rsidP="008A48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1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Medicо</w:t>
            </w:r>
            <w:proofErr w:type="spellEnd"/>
            <w:r w:rsidRPr="005D1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-Biological and Socio-Psychological Problems of Safety in Emergency Situation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(Russia)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5D1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5D1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  <w:r w:rsidRPr="005D1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  <w:r w:rsidRPr="005D1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(In Russ.)</w:t>
            </w:r>
          </w:p>
        </w:tc>
        <w:tc>
          <w:tcPr>
            <w:tcW w:w="4820" w:type="dxa"/>
          </w:tcPr>
          <w:p w14:paraId="2FE268E0" w14:textId="2E313B40" w:rsidR="00797A1A" w:rsidRPr="00C7051C" w:rsidRDefault="00597186" w:rsidP="001C06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gramStart"/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://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elibrary</w:t>
            </w:r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item</w:t>
            </w:r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asp</w:t>
            </w:r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proofErr w:type="gramEnd"/>
            <w:r w:rsidR="00B76B52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</w:t>
            </w:r>
            <w:r w:rsidR="001C06B4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21139575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797A1A" w:rsidRPr="0048038F" w14:paraId="632C0E71" w14:textId="77777777" w:rsidTr="00C84CE6">
        <w:tc>
          <w:tcPr>
            <w:tcW w:w="566" w:type="dxa"/>
          </w:tcPr>
          <w:p w14:paraId="3E58808E" w14:textId="39F07C38" w:rsidR="00797A1A" w:rsidRDefault="00797A1A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84" w:type="dxa"/>
          </w:tcPr>
          <w:p w14:paraId="5E3E87D2" w14:textId="2552877A" w:rsidR="00797A1A" w:rsidRDefault="002D7AFC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AFC">
              <w:rPr>
                <w:rFonts w:ascii="Times New Roman" w:hAnsi="Times New Roman" w:cs="Times New Roman"/>
                <w:sz w:val="28"/>
                <w:szCs w:val="28"/>
              </w:rPr>
              <w:t>Зурочка</w:t>
            </w:r>
            <w:proofErr w:type="spellEnd"/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 А.В., Давыдова У.В., Альтман Д.А. Интенсивность процессов апоптоза и пролиферации лимфоцитов в условиях дислипидемии при ранних формах хронической ишемии мозга</w:t>
            </w:r>
            <w:r w:rsidR="00C83BC3"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Медицинская иммунология. </w:t>
            </w:r>
            <w:r w:rsidR="0048038F" w:rsidRPr="002D7AF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C64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427F">
              <w:t xml:space="preserve"> </w:t>
            </w:r>
            <w:r w:rsidR="00C6427F" w:rsidRPr="00C642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6427F"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r w:rsidR="0048038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642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6427F" w:rsidRPr="00063E5A">
              <w:rPr>
                <w:rFonts w:ascii="Times New Roman" w:hAnsi="Times New Roman" w:cs="Times New Roman"/>
                <w:sz w:val="28"/>
                <w:szCs w:val="28"/>
              </w:rPr>
              <w:t>№1.</w:t>
            </w:r>
            <w:r w:rsidR="00C64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27F" w:rsidRPr="00C6427F">
              <w:rPr>
                <w:rFonts w:ascii="Times New Roman" w:hAnsi="Times New Roman" w:cs="Times New Roman"/>
                <w:sz w:val="28"/>
                <w:szCs w:val="28"/>
              </w:rPr>
              <w:t>– С.</w:t>
            </w:r>
            <w:r w:rsidR="00C64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38F">
              <w:rPr>
                <w:rFonts w:ascii="Times New Roman" w:hAnsi="Times New Roman" w:cs="Times New Roman"/>
                <w:sz w:val="28"/>
                <w:szCs w:val="28"/>
              </w:rPr>
              <w:t>27-34</w:t>
            </w:r>
            <w:r w:rsidRPr="002D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489E34" w14:textId="435542B1" w:rsidR="0048038F" w:rsidRDefault="0048038F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3" w:type="dxa"/>
          </w:tcPr>
          <w:p w14:paraId="50EA20D5" w14:textId="4C8734C0" w:rsidR="00797A1A" w:rsidRPr="0048038F" w:rsidRDefault="0048038F" w:rsidP="00CF27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Zurochka</w:t>
            </w:r>
            <w:proofErr w:type="spellEnd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Davydova</w:t>
            </w:r>
            <w:proofErr w:type="spellEnd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E.V., Altman D.A. 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ntensity of apopto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tic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proliferati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 events 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lymphocytes 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under 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dyslipide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conditions 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early 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stages 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chronic 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brain</w:t>
            </w:r>
            <w:r w:rsidR="00CF271E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ischemia.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 Immunology (Russia)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2014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27-34. (In Russ.)</w:t>
            </w:r>
          </w:p>
        </w:tc>
        <w:tc>
          <w:tcPr>
            <w:tcW w:w="4820" w:type="dxa"/>
          </w:tcPr>
          <w:p w14:paraId="40FA7374" w14:textId="4EC3E7AB" w:rsidR="00797A1A" w:rsidRPr="0048038F" w:rsidRDefault="00B76B52" w:rsidP="00B76B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702340" w:rsidRPr="00702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doi.org/10.15789/1563-0625-2014-1-27-34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386D79" w:rsidRPr="002B28B1" w14:paraId="61AB0A2C" w14:textId="77777777" w:rsidTr="00C84CE6">
        <w:tc>
          <w:tcPr>
            <w:tcW w:w="566" w:type="dxa"/>
          </w:tcPr>
          <w:p w14:paraId="215E6952" w14:textId="40A0CC76" w:rsidR="00386D79" w:rsidRDefault="00386D79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84" w:type="dxa"/>
          </w:tcPr>
          <w:p w14:paraId="3DFB2377" w14:textId="607F0951" w:rsidR="00386D79" w:rsidRPr="002D7AFC" w:rsidRDefault="00386D7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Зурочка</w:t>
            </w:r>
            <w:proofErr w:type="spellEnd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А.В., Хайдуков С.В., Кудрявцев И.В., </w:t>
            </w:r>
            <w:proofErr w:type="spellStart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Черешнев</w:t>
            </w:r>
            <w:proofErr w:type="spellEnd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В.А. Проточная цитометрия в биомедицинских исследованиях. РИО Уро РАН. — Екатеринбург. — 2018. — 720 с.</w:t>
            </w:r>
          </w:p>
        </w:tc>
        <w:tc>
          <w:tcPr>
            <w:tcW w:w="5393" w:type="dxa"/>
          </w:tcPr>
          <w:p w14:paraId="279B4E8C" w14:textId="77777777" w:rsidR="00EA3996" w:rsidRPr="00CF271E" w:rsidRDefault="00EA3996" w:rsidP="00EA399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Zurochka</w:t>
            </w:r>
            <w:proofErr w:type="spellEnd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., </w:t>
            </w:r>
            <w:proofErr w:type="spellStart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Khaidykov</w:t>
            </w:r>
            <w:proofErr w:type="spellEnd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., </w:t>
            </w:r>
            <w:proofErr w:type="spellStart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Kudriavtsev</w:t>
            </w:r>
            <w:proofErr w:type="spellEnd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., </w:t>
            </w:r>
            <w:proofErr w:type="spellStart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Chereshev</w:t>
            </w:r>
            <w:proofErr w:type="spellEnd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V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</w:p>
          <w:p w14:paraId="668C5A4E" w14:textId="5568F0A0" w:rsidR="00386D79" w:rsidRPr="00EA3996" w:rsidRDefault="00EA3996" w:rsidP="00EA39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Flow Cytometry in biomedical research. </w:t>
            </w:r>
            <w:r w:rsidR="00063E5A"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Yekaterinburg</w:t>
            </w:r>
            <w:r w:rsid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: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RIO </w:t>
            </w:r>
            <w:proofErr w:type="spellStart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Uro</w:t>
            </w:r>
            <w:proofErr w:type="spellEnd"/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RAN</w:t>
            </w:r>
            <w:r w:rsid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,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2018</w:t>
            </w:r>
            <w:r w:rsid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,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720 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</w:t>
            </w:r>
            <w:r w:rsidRPr="00CF271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820" w:type="dxa"/>
          </w:tcPr>
          <w:p w14:paraId="31714684" w14:textId="4F7D291F" w:rsidR="00386D79" w:rsidRPr="002B28B1" w:rsidRDefault="002B28B1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D7AFC" w:rsidRPr="007101A9" w14:paraId="4E896AF7" w14:textId="77777777" w:rsidTr="00C84CE6">
        <w:tc>
          <w:tcPr>
            <w:tcW w:w="566" w:type="dxa"/>
          </w:tcPr>
          <w:p w14:paraId="15E4035E" w14:textId="261D877F" w:rsidR="002D7AFC" w:rsidRDefault="00386D79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6761FCCC" w14:textId="10E08E4B" w:rsidR="002D7AFC" w:rsidRPr="002D7AFC" w:rsidRDefault="00386D7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Иммунология</w:t>
            </w:r>
            <w:r w:rsidR="00F15B78">
              <w:rPr>
                <w:rFonts w:ascii="Times New Roman" w:hAnsi="Times New Roman" w:cs="Times New Roman"/>
                <w:sz w:val="28"/>
                <w:szCs w:val="28"/>
              </w:rPr>
              <w:t>: в 3-х т. Т. 1.</w:t>
            </w:r>
            <w:r w:rsidR="00F15B78" w:rsidRPr="00F15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Пер. с англ. Под ред. У. Пола. М.</w:t>
            </w:r>
            <w:r w:rsidR="00F15B7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Мир. </w:t>
            </w:r>
            <w:r w:rsidR="00F15B78" w:rsidRPr="00F15B7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1988.</w:t>
            </w:r>
            <w:r w:rsidR="00F15B78">
              <w:t xml:space="preserve"> </w:t>
            </w:r>
            <w:r w:rsidR="00F15B78" w:rsidRPr="00F15B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15B78">
              <w:rPr>
                <w:rFonts w:ascii="Times New Roman" w:hAnsi="Times New Roman" w:cs="Times New Roman"/>
                <w:sz w:val="28"/>
                <w:szCs w:val="28"/>
              </w:rPr>
              <w:t xml:space="preserve"> 476 с.</w:t>
            </w:r>
          </w:p>
        </w:tc>
        <w:tc>
          <w:tcPr>
            <w:tcW w:w="5393" w:type="dxa"/>
          </w:tcPr>
          <w:p w14:paraId="3B44C61B" w14:textId="23CA14CF" w:rsidR="000E3219" w:rsidRPr="000E3219" w:rsidRDefault="000E3219" w:rsidP="000E321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E3219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Fundamental Immunology. Editor William E. Paul, M.D. Moscow: Mir, 1988, 476 p.</w:t>
            </w:r>
          </w:p>
          <w:p w14:paraId="352BFB2C" w14:textId="1A8D0632" w:rsidR="002D7AFC" w:rsidRPr="000E3219" w:rsidRDefault="002D7AFC" w:rsidP="000E321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14:paraId="734F9163" w14:textId="4CCCF2E5" w:rsidR="002D7AFC" w:rsidRPr="000E3219" w:rsidRDefault="000947F2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4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</w:tr>
      <w:tr w:rsidR="002D7AFC" w14:paraId="04EAEB1E" w14:textId="77777777" w:rsidTr="00C84CE6">
        <w:tc>
          <w:tcPr>
            <w:tcW w:w="566" w:type="dxa"/>
          </w:tcPr>
          <w:p w14:paraId="48318D08" w14:textId="225D97A2" w:rsidR="002D7AFC" w:rsidRDefault="00386D79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2FFC558E" w14:textId="3BFDCF53" w:rsidR="002D7AFC" w:rsidRPr="002D7AFC" w:rsidRDefault="00386D7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 И.В., Головкин А.С., </w:t>
            </w:r>
            <w:proofErr w:type="spellStart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Зурочка</w:t>
            </w:r>
            <w:proofErr w:type="spellEnd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А.В., Хайдуков С.В. Современные методы и подходы к изучению апоптоза в экспериментальной биологии</w:t>
            </w:r>
            <w:r w:rsidR="00C83BC3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иммунология. </w:t>
            </w:r>
            <w:r w:rsidR="004166F3" w:rsidRPr="00386D79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4166F3" w:rsidRPr="00C83BC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14(6):461-482. </w:t>
            </w:r>
          </w:p>
        </w:tc>
        <w:tc>
          <w:tcPr>
            <w:tcW w:w="5393" w:type="dxa"/>
          </w:tcPr>
          <w:p w14:paraId="7E6B06C4" w14:textId="4BAFFECA" w:rsidR="002D7AFC" w:rsidRPr="00CF271E" w:rsidRDefault="0048038F" w:rsidP="007023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Kudriavtsev</w:t>
            </w:r>
            <w:proofErr w:type="spellEnd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I.V., Golovkin A.S., </w:t>
            </w:r>
            <w:proofErr w:type="spellStart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Zurochka</w:t>
            </w:r>
            <w:proofErr w:type="spellEnd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Khaidukov</w:t>
            </w:r>
            <w:proofErr w:type="spellEnd"/>
            <w:r w:rsidRPr="00480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S.V. </w:t>
            </w:r>
            <w:r w:rsid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Modern technologies and approaches to apoptosis studies in experimental biology. </w:t>
            </w:r>
          </w:p>
        </w:tc>
        <w:tc>
          <w:tcPr>
            <w:tcW w:w="4820" w:type="dxa"/>
          </w:tcPr>
          <w:p w14:paraId="6AEF99C4" w14:textId="467232F7" w:rsidR="002D7AFC" w:rsidRPr="00B76B52" w:rsidRDefault="00B76B52" w:rsidP="00B76B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702340" w:rsidRPr="0048038F">
              <w:rPr>
                <w:rFonts w:ascii="Times New Roman" w:hAnsi="Times New Roman" w:cs="Times New Roman"/>
                <w:sz w:val="28"/>
                <w:szCs w:val="28"/>
              </w:rPr>
              <w:t>doi.org/10.15789/1563-0625-2012-6-461-482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B76B52" w14:paraId="37E60066" w14:textId="77777777" w:rsidTr="00C84CE6">
        <w:tc>
          <w:tcPr>
            <w:tcW w:w="566" w:type="dxa"/>
          </w:tcPr>
          <w:p w14:paraId="72250841" w14:textId="36B3CE79" w:rsidR="002D7AFC" w:rsidRDefault="00386D79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76F7ED06" w14:textId="77777777" w:rsidR="00B76B52" w:rsidRDefault="00386D7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Петрищев Н.Н., Васина Л.В., Луговая А.В. </w:t>
            </w:r>
          </w:p>
          <w:p w14:paraId="11BA963C" w14:textId="2DE06775" w:rsidR="002D7AFC" w:rsidRPr="002D7AFC" w:rsidRDefault="00386D7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Содержание растворимых маркеров апоптоза и циркулирующих </w:t>
            </w:r>
            <w:proofErr w:type="spellStart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аннексин</w:t>
            </w:r>
            <w:proofErr w:type="spellEnd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V-связанных </w:t>
            </w:r>
            <w:proofErr w:type="spellStart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апоптотических</w:t>
            </w:r>
            <w:proofErr w:type="spellEnd"/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клеток в крови больных острым коронарным синдромом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Вестник Санкт-Петербургского государственного университета. 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 xml:space="preserve">2008. – №1. – С. 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063E5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63E5A" w:rsidRPr="00063E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393" w:type="dxa"/>
          </w:tcPr>
          <w:p w14:paraId="472989D6" w14:textId="77777777" w:rsidR="002D7AFC" w:rsidRDefault="00182A56" w:rsidP="00182A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Petrishchev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N.N., </w:t>
            </w: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Vasina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L.V., </w:t>
            </w:r>
            <w:proofErr w:type="spellStart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Lugovaya</w:t>
            </w:r>
            <w:proofErr w:type="spellEnd"/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</w:t>
            </w:r>
          </w:p>
          <w:p w14:paraId="402FA78D" w14:textId="76B79F48" w:rsidR="004166F3" w:rsidRDefault="00182A56" w:rsidP="00182A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Content of soluble markers of apoptosis and circulating V annexin-connected</w:t>
            </w:r>
            <w:r w:rsidRPr="00182A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apopt</w:t>
            </w:r>
            <w:r w:rsidR="008A4821" w:rsidRP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8A48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tic</w:t>
            </w:r>
            <w:r w:rsidRPr="00182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cells in the blood of patients with acute coronary syndrome</w:t>
            </w:r>
            <w:r w:rsid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E222F93" w14:textId="30DC362A" w:rsidR="00C6427F" w:rsidRPr="00182A56" w:rsidRDefault="00C6427F" w:rsidP="00182A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VestnikSpbu</w:t>
            </w:r>
            <w:proofErr w:type="spellEnd"/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(Russia)</w:t>
            </w:r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2008, no. 1, pp.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Pr="00C6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(In Russ.)</w:t>
            </w:r>
          </w:p>
        </w:tc>
        <w:tc>
          <w:tcPr>
            <w:tcW w:w="4820" w:type="dxa"/>
          </w:tcPr>
          <w:p w14:paraId="4B03DB00" w14:textId="50122F12" w:rsidR="002D7AFC" w:rsidRPr="004166F3" w:rsidRDefault="00597186" w:rsidP="00B76B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[</w:t>
            </w:r>
            <w:r w:rsidR="00B76B52" w:rsidRPr="00B7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="00B76B52"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hyperlink r:id="rId5" w:history="1">
              <w:r w:rsidR="00B76B52" w:rsidRPr="00597186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http://elibrary.ru/item.asp.id</w:t>
              </w:r>
            </w:hyperlink>
            <w:r w:rsidR="00B76B52" w:rsidRPr="00416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</w:p>
          <w:p w14:paraId="4087E196" w14:textId="64A4A9A3" w:rsidR="00B76B52" w:rsidRPr="00B76B52" w:rsidRDefault="00B76B52" w:rsidP="00B76B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10024851</w:t>
            </w:r>
            <w:r w:rsidR="005971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171BBFD1" w14:textId="77777777" w:rsidTr="00C84CE6">
        <w:tc>
          <w:tcPr>
            <w:tcW w:w="566" w:type="dxa"/>
          </w:tcPr>
          <w:p w14:paraId="04935BD8" w14:textId="7433424B" w:rsidR="002D7AFC" w:rsidRDefault="00386D79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D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243726A4" w14:textId="07648C60" w:rsidR="002D7AFC" w:rsidRPr="002D7AFC" w:rsidRDefault="00386D7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Хаитов Р.М. Иммунология</w:t>
            </w:r>
            <w:r w:rsidR="00003EE8">
              <w:rPr>
                <w:rFonts w:ascii="Times New Roman" w:hAnsi="Times New Roman" w:cs="Times New Roman"/>
                <w:sz w:val="28"/>
                <w:szCs w:val="28"/>
              </w:rPr>
              <w:t>: учебник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28B1">
              <w:t xml:space="preserve"> </w:t>
            </w:r>
            <w:r w:rsidR="002B28B1" w:rsidRPr="002B2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="002B28B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 xml:space="preserve">ГЭОТАР–Медиа. </w:t>
            </w:r>
            <w:r w:rsidR="00B945C2" w:rsidRPr="00B945C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386D79">
              <w:rPr>
                <w:rFonts w:ascii="Times New Roman" w:hAnsi="Times New Roman" w:cs="Times New Roman"/>
                <w:sz w:val="28"/>
                <w:szCs w:val="28"/>
              </w:rPr>
              <w:t>2018.</w:t>
            </w:r>
            <w:r w:rsidR="002B28B1" w:rsidRPr="00EA399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B28B1">
              <w:rPr>
                <w:rFonts w:ascii="Times New Roman" w:hAnsi="Times New Roman" w:cs="Times New Roman"/>
                <w:sz w:val="28"/>
                <w:szCs w:val="28"/>
              </w:rPr>
              <w:t xml:space="preserve"> 496 с.</w:t>
            </w:r>
          </w:p>
        </w:tc>
        <w:tc>
          <w:tcPr>
            <w:tcW w:w="5393" w:type="dxa"/>
          </w:tcPr>
          <w:p w14:paraId="72D22BC1" w14:textId="746D65D4" w:rsidR="00B945C2" w:rsidRPr="00063E5A" w:rsidRDefault="00B945C2" w:rsidP="00B945C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proofErr w:type="spellStart"/>
            <w:r w:rsidRP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Khaitov</w:t>
            </w:r>
            <w:proofErr w:type="spellEnd"/>
            <w:r w:rsidRP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R.M. Immunology:</w:t>
            </w:r>
            <w:r w:rsidRPr="00063E5A">
              <w:rPr>
                <w:color w:val="FF0000"/>
                <w:lang w:val="en-US"/>
              </w:rPr>
              <w:t xml:space="preserve"> </w:t>
            </w:r>
            <w:r w:rsidRP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textbook. Moscow:</w:t>
            </w:r>
            <w:r w:rsidR="00C84CE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063E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GEOTAR-Media, 2018, 496 p.</w:t>
            </w:r>
          </w:p>
        </w:tc>
        <w:tc>
          <w:tcPr>
            <w:tcW w:w="4820" w:type="dxa"/>
          </w:tcPr>
          <w:p w14:paraId="03E58493" w14:textId="3C1EA2B1" w:rsidR="002D7AFC" w:rsidRDefault="002B28B1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D7AFC" w14:paraId="0E615E04" w14:textId="77777777" w:rsidTr="00C84CE6">
        <w:tc>
          <w:tcPr>
            <w:tcW w:w="566" w:type="dxa"/>
          </w:tcPr>
          <w:p w14:paraId="50E997DF" w14:textId="29ED32F3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84" w:type="dxa"/>
          </w:tcPr>
          <w:p w14:paraId="106CABFE" w14:textId="77777777" w:rsidR="00240581" w:rsidRDefault="00240581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581">
              <w:rPr>
                <w:rFonts w:ascii="Times New Roman" w:hAnsi="Times New Roman" w:cs="Times New Roman"/>
                <w:sz w:val="28"/>
                <w:szCs w:val="28"/>
              </w:rPr>
              <w:t xml:space="preserve">Ярилин А.А., Никонова М.Ф., Ярилина А.А., Варфоломеева М.И., Григорьева Т.Ю. </w:t>
            </w:r>
          </w:p>
          <w:p w14:paraId="2C741523" w14:textId="5BA2D72B" w:rsidR="002D7AFC" w:rsidRPr="002D7AFC" w:rsidRDefault="00240581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581">
              <w:rPr>
                <w:rFonts w:ascii="Times New Roman" w:hAnsi="Times New Roman" w:cs="Times New Roman"/>
                <w:sz w:val="28"/>
                <w:szCs w:val="28"/>
              </w:rPr>
              <w:t>Апоптоз, роль в патологии и значимость его оценки при клинико-иммунологическом обследовании больных</w:t>
            </w:r>
            <w:r w:rsidR="00C83BC3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240581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иммунология. </w:t>
            </w:r>
            <w:r w:rsidR="00C6427F" w:rsidRPr="00C6427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6427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6427F" w:rsidRPr="00C6427F">
              <w:rPr>
                <w:rFonts w:ascii="Times New Roman" w:hAnsi="Times New Roman" w:cs="Times New Roman"/>
                <w:sz w:val="28"/>
                <w:szCs w:val="28"/>
              </w:rPr>
              <w:t xml:space="preserve">. – Т. </w:t>
            </w:r>
            <w:r w:rsidR="00C83B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27F" w:rsidRPr="00C6427F">
              <w:rPr>
                <w:rFonts w:ascii="Times New Roman" w:hAnsi="Times New Roman" w:cs="Times New Roman"/>
                <w:sz w:val="28"/>
                <w:szCs w:val="28"/>
              </w:rPr>
              <w:t xml:space="preserve">, №1. – С. </w:t>
            </w:r>
            <w:r w:rsidR="00C83BC3">
              <w:rPr>
                <w:rFonts w:ascii="Times New Roman" w:hAnsi="Times New Roman" w:cs="Times New Roman"/>
                <w:sz w:val="28"/>
                <w:szCs w:val="28"/>
              </w:rPr>
              <w:t>7-16</w:t>
            </w:r>
            <w:r w:rsidR="00C6427F" w:rsidRPr="00C64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3" w:type="dxa"/>
          </w:tcPr>
          <w:p w14:paraId="0FDE3EA2" w14:textId="77777777" w:rsidR="00C10210" w:rsidRPr="00C10210" w:rsidRDefault="00C10210" w:rsidP="00C10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Yarilin</w:t>
            </w:r>
            <w:proofErr w:type="spellEnd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Nikonova</w:t>
            </w:r>
            <w:proofErr w:type="spellEnd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M.F., </w:t>
            </w:r>
            <w:proofErr w:type="spellStart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Yarilina</w:t>
            </w:r>
            <w:proofErr w:type="spellEnd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Varfolomeeva</w:t>
            </w:r>
            <w:proofErr w:type="spellEnd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M.I., </w:t>
            </w:r>
            <w:proofErr w:type="spellStart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Grigorieva</w:t>
            </w:r>
            <w:proofErr w:type="spellEnd"/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 Yu.</w:t>
            </w:r>
          </w:p>
          <w:p w14:paraId="7C5BB25B" w14:textId="690631C5" w:rsidR="002D7AFC" w:rsidRPr="00C7051C" w:rsidRDefault="00C10210" w:rsidP="00C10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poptosis</w:t>
            </w:r>
            <w:r w:rsidRPr="00C10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importance of its evaluation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immunopathlogical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states. 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 Immunology (Russia),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C7051C" w:rsidRPr="00C70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(In Russ.)</w:t>
            </w:r>
          </w:p>
        </w:tc>
        <w:tc>
          <w:tcPr>
            <w:tcW w:w="4820" w:type="dxa"/>
          </w:tcPr>
          <w:p w14:paraId="64D65AAC" w14:textId="386B57D8" w:rsidR="002D7AFC" w:rsidRDefault="002B28B1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8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D7AFC" w14:paraId="1946695F" w14:textId="77777777" w:rsidTr="00C84CE6">
        <w:tc>
          <w:tcPr>
            <w:tcW w:w="566" w:type="dxa"/>
          </w:tcPr>
          <w:p w14:paraId="4BA4E540" w14:textId="6E4E8F7C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84" w:type="dxa"/>
          </w:tcPr>
          <w:p w14:paraId="774F145B" w14:textId="77777777" w:rsid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Ardestani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Maedler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 </w:t>
            </w:r>
          </w:p>
          <w:p w14:paraId="0FFB9A73" w14:textId="13CB9DFC" w:rsidR="002D7AFC" w:rsidRP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MST1: a promising therapeutic target to restore functional beta cell mass in diabetes. 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Diabetologia, 201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pp. 1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843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–1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849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5393" w:type="dxa"/>
          </w:tcPr>
          <w:p w14:paraId="4260EB38" w14:textId="7EF4F7E5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1B2C9B16" w14:textId="5B183072" w:rsidR="002D7AFC" w:rsidRPr="00F74714" w:rsidRDefault="00F74714" w:rsidP="00597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4714">
              <w:rPr>
                <w:rFonts w:ascii="Times New Roman" w:hAnsi="Times New Roman" w:cs="Times New Roman"/>
                <w:sz w:val="28"/>
                <w:szCs w:val="28"/>
              </w:rPr>
              <w:t>[doi:10.1007/s00125-016-3892-9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7E6DA3F0" w14:textId="77777777" w:rsidTr="00C84CE6">
        <w:tc>
          <w:tcPr>
            <w:tcW w:w="566" w:type="dxa"/>
          </w:tcPr>
          <w:p w14:paraId="3A0A8D83" w14:textId="56E37AFC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84" w:type="dxa"/>
          </w:tcPr>
          <w:p w14:paraId="08A685C1" w14:textId="61CA89B3" w:rsid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Baidwan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Chekuri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Hynds</w:t>
            </w:r>
            <w:proofErr w:type="spellEnd"/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D.L.,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Kowluru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</w:t>
            </w:r>
          </w:p>
          <w:p w14:paraId="41E3A96A" w14:textId="0F964309" w:rsidR="002D7AFC" w:rsidRP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Glucotoxicity promotes aberrant activation and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mislocalization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Ras-related C3 botulinum toxin substrate 1 [Rac1] and metabolic dysfunction in pancreatic islet </w:t>
            </w:r>
            <w:r w:rsidRPr="000C0F4B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-cells: reversal of such metabolic defects by metformin. Apoptosis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F75CC"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1380–1393. </w:t>
            </w:r>
          </w:p>
        </w:tc>
        <w:tc>
          <w:tcPr>
            <w:tcW w:w="5393" w:type="dxa"/>
          </w:tcPr>
          <w:p w14:paraId="55E724A5" w14:textId="6F0138FF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4820" w:type="dxa"/>
          </w:tcPr>
          <w:p w14:paraId="1F759F51" w14:textId="3EF73CED" w:rsidR="002D7AFC" w:rsidRPr="005E1269" w:rsidRDefault="005E1269" w:rsidP="005E12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5E1269">
              <w:rPr>
                <w:rFonts w:ascii="Times New Roman" w:hAnsi="Times New Roman" w:cs="Times New Roman"/>
                <w:sz w:val="28"/>
                <w:szCs w:val="28"/>
              </w:rPr>
              <w:t>doi:10.1007/s10495-017-1409-8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800BBE" w14:paraId="3B3DAA2D" w14:textId="77777777" w:rsidTr="00C84CE6">
        <w:tc>
          <w:tcPr>
            <w:tcW w:w="566" w:type="dxa"/>
          </w:tcPr>
          <w:p w14:paraId="0D621954" w14:textId="2C9A44E5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84" w:type="dxa"/>
          </w:tcPr>
          <w:p w14:paraId="4C0F6B08" w14:textId="77777777" w:rsid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Banfalvi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</w:t>
            </w:r>
          </w:p>
          <w:p w14:paraId="07725481" w14:textId="51351CCF" w:rsidR="002D7AFC" w:rsidRP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 to detect apoptotic cell death. Apoptosis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3F75CC"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no. 2, pp.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306–323. </w:t>
            </w:r>
          </w:p>
        </w:tc>
        <w:tc>
          <w:tcPr>
            <w:tcW w:w="5393" w:type="dxa"/>
          </w:tcPr>
          <w:p w14:paraId="48209A0D" w14:textId="1B14872E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6ECF31F1" w14:textId="037D9E22" w:rsidR="00800BBE" w:rsidRPr="00800BBE" w:rsidRDefault="00800BBE" w:rsidP="00800B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800B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doi:10.1007/s10495-016-1333-3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25C2BF9D" w14:textId="3FBEFF59" w:rsidR="002D7AFC" w:rsidRPr="00800BBE" w:rsidRDefault="002D7AFC" w:rsidP="00800B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:rsidRPr="00960D3B" w14:paraId="6EB7E1DA" w14:textId="77777777" w:rsidTr="00C84CE6">
        <w:tc>
          <w:tcPr>
            <w:tcW w:w="566" w:type="dxa"/>
          </w:tcPr>
          <w:p w14:paraId="129F2679" w14:textId="4E0BA160" w:rsidR="002D7AFC" w:rsidRPr="00F07DB0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B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84" w:type="dxa"/>
          </w:tcPr>
          <w:p w14:paraId="7E93B423" w14:textId="48F70082" w:rsidR="002D7AFC" w:rsidRPr="00CF271E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Birge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R.B.,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Boeltz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Kumar S.</w:t>
            </w:r>
            <w:r w:rsidR="009342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Carlson</w:t>
            </w:r>
            <w:r w:rsidR="00831C2E"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Wanderley</w:t>
            </w:r>
            <w:proofErr w:type="spellEnd"/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F07D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Calianese</w:t>
            </w:r>
            <w:proofErr w:type="spellEnd"/>
            <w:r w:rsidR="00F07D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Barcinski</w:t>
            </w:r>
            <w:proofErr w:type="spellEnd"/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Brekken</w:t>
            </w:r>
            <w:proofErr w:type="spellEnd"/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Huang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Hutchins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Freimark</w:t>
            </w:r>
            <w:proofErr w:type="spellEnd"/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Empig</w:t>
            </w:r>
            <w:proofErr w:type="spellEnd"/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Mercer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Schroit</w:t>
            </w:r>
            <w:proofErr w:type="spellEnd"/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Schett</w:t>
            </w:r>
            <w:proofErr w:type="spellEnd"/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7505F7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Herrmann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1C2E" w:rsidRPr="007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831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Phosphatidylserine is a global immunosuppressive signal in efferocytosis, infectious disease, and cancer.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Death Differ.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F75CC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962–978. </w:t>
            </w:r>
          </w:p>
        </w:tc>
        <w:tc>
          <w:tcPr>
            <w:tcW w:w="5393" w:type="dxa"/>
          </w:tcPr>
          <w:p w14:paraId="0372AE29" w14:textId="6018DF8C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13185870" w14:textId="147DECF8" w:rsidR="00960D3B" w:rsidRPr="00960D3B" w:rsidRDefault="00960D3B" w:rsidP="00960D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960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doi:10.1038/cdd.2016.11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61900FB8" w14:textId="313E6179" w:rsidR="002D7AFC" w:rsidRPr="00960D3B" w:rsidRDefault="002D7AFC" w:rsidP="00960D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:rsidRPr="00705C24" w14:paraId="1C714BD6" w14:textId="77777777" w:rsidTr="00C84CE6">
        <w:tc>
          <w:tcPr>
            <w:tcW w:w="566" w:type="dxa"/>
          </w:tcPr>
          <w:p w14:paraId="14AE7282" w14:textId="5AC8C7AE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84" w:type="dxa"/>
          </w:tcPr>
          <w:p w14:paraId="236772AA" w14:textId="77777777" w:rsid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Blander J.M. </w:t>
            </w:r>
          </w:p>
          <w:p w14:paraId="036BAC30" w14:textId="4B65560D" w:rsidR="002D7AFC" w:rsidRP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many ways tissue phagocytes respond to dying cells. Immunol. Rev.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3F75CC"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3F75CC" w:rsidRP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277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F7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158–173. </w:t>
            </w:r>
          </w:p>
        </w:tc>
        <w:tc>
          <w:tcPr>
            <w:tcW w:w="5393" w:type="dxa"/>
          </w:tcPr>
          <w:p w14:paraId="54B96170" w14:textId="73AEC0B2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66DBE1C6" w14:textId="6AA00DE6" w:rsidR="002D7AFC" w:rsidRPr="00705C24" w:rsidRDefault="00705C24" w:rsidP="00705C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705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doi:10.1111/imr.125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37]</w:t>
            </w:r>
          </w:p>
        </w:tc>
      </w:tr>
      <w:tr w:rsidR="002D7AFC" w14:paraId="6FB8602C" w14:textId="77777777" w:rsidTr="00C84CE6">
        <w:tc>
          <w:tcPr>
            <w:tcW w:w="566" w:type="dxa"/>
          </w:tcPr>
          <w:p w14:paraId="7E7B110F" w14:textId="19F6C891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384" w:type="dxa"/>
          </w:tcPr>
          <w:p w14:paraId="0787E93A" w14:textId="77777777" w:rsid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Brozzi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Nardelli T.R., Lopes M., Millard I.,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Barthson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Mariana I.,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Grieco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A.F.,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Villate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Oliveira J.M.,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CasimirM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Bugliani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Engin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Hotamisligil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G.S., Marchetti P., </w:t>
            </w:r>
            <w:proofErr w:type="spellStart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Eizirik</w:t>
            </w:r>
            <w:proofErr w:type="spellEnd"/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D.L. </w:t>
            </w:r>
          </w:p>
          <w:p w14:paraId="524A702C" w14:textId="711C352A" w:rsidR="002D7AFC" w:rsidRPr="000C0F4B" w:rsidRDefault="000C0F4B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Cytokines induce endoplasmic reticulum stress in human, rat and mouse beta cells via different mechanisms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Diabetologia, 201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 5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2307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2316. </w:t>
            </w:r>
          </w:p>
        </w:tc>
        <w:tc>
          <w:tcPr>
            <w:tcW w:w="5393" w:type="dxa"/>
          </w:tcPr>
          <w:p w14:paraId="0CBE2E6A" w14:textId="2656C2D6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77075798" w14:textId="0372EEE6" w:rsidR="002D7AFC" w:rsidRPr="00F74714" w:rsidRDefault="00F74714" w:rsidP="00F747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4714">
              <w:rPr>
                <w:rFonts w:ascii="Times New Roman" w:hAnsi="Times New Roman" w:cs="Times New Roman"/>
                <w:sz w:val="28"/>
                <w:szCs w:val="28"/>
              </w:rPr>
              <w:t>[doi:10.1007/s00125-015-3669-6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800BBE" w14:paraId="7CE51FDE" w14:textId="77777777" w:rsidTr="00C84CE6">
        <w:tc>
          <w:tcPr>
            <w:tcW w:w="566" w:type="dxa"/>
          </w:tcPr>
          <w:p w14:paraId="12AFB35F" w14:textId="739869CD" w:rsidR="002D7AFC" w:rsidRPr="00F07DB0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B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84" w:type="dxa"/>
          </w:tcPr>
          <w:p w14:paraId="274A4396" w14:textId="1F7BCE4F" w:rsidR="00086722" w:rsidRDefault="000C0F4B" w:rsidP="00E274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Elmore S.A., Dixon D., Hailey J.R.</w:t>
            </w:r>
            <w:r w:rsid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F07D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Harada </w:t>
            </w:r>
            <w:r w:rsidR="00E27484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27484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27484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Herbert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  <w:r w:rsidR="00E27484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27484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Maronpot</w:t>
            </w:r>
            <w:proofErr w:type="spellEnd"/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R.</w:t>
            </w:r>
            <w:r w:rsidR="00E27484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Nolte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27484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27484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Rehg</w:t>
            </w:r>
            <w:proofErr w:type="spellEnd"/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</w:t>
            </w:r>
            <w:r w:rsidR="00E27484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27484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Rittinghausen</w:t>
            </w:r>
            <w:proofErr w:type="spellEnd"/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="00E27484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Rosol</w:t>
            </w:r>
            <w:proofErr w:type="spellEnd"/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J.</w:t>
            </w:r>
            <w:r w:rsidR="00E27484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C94AB6C" w14:textId="77777777" w:rsidR="00086722" w:rsidRDefault="00E27484" w:rsidP="00E274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Satoh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Vidal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</w:t>
            </w:r>
            <w:r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 w14:paraId="4604D788" w14:textId="443F8313" w:rsidR="00E27484" w:rsidRPr="00E27484" w:rsidRDefault="00E27484" w:rsidP="00E274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Willard-Mack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L.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Creasy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086722"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086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980FA6E" w14:textId="42CD446A" w:rsidR="002D7AFC" w:rsidRPr="00CF271E" w:rsidRDefault="00E27484" w:rsidP="00E274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7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Abstract</w:t>
            </w:r>
            <w:r w:rsidR="000C0F4B" w:rsidRPr="000C0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Recommendations from the INHAND Apoptosis/Necrosis Working Group. </w:t>
            </w:r>
            <w:proofErr w:type="spellStart"/>
            <w:r w:rsidR="000C0F4B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Toxicol</w:t>
            </w:r>
            <w:proofErr w:type="spellEnd"/>
            <w:r w:rsidR="000C0F4B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0C0F4B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Pathol</w:t>
            </w:r>
            <w:proofErr w:type="spellEnd"/>
            <w:r w:rsidR="000C0F4B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AA21A4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="000C0F4B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="000C0F4B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="000C0F4B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173–188. </w:t>
            </w:r>
          </w:p>
        </w:tc>
        <w:tc>
          <w:tcPr>
            <w:tcW w:w="5393" w:type="dxa"/>
          </w:tcPr>
          <w:p w14:paraId="641453A2" w14:textId="2ACAB50F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666F9E8D" w14:textId="4ECF577B" w:rsidR="00800BBE" w:rsidRPr="00800BBE" w:rsidRDefault="00800BBE" w:rsidP="00800B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800BBE">
              <w:rPr>
                <w:rFonts w:ascii="Times New Roman" w:hAnsi="Times New Roman" w:cs="Times New Roman"/>
                <w:sz w:val="28"/>
                <w:szCs w:val="28"/>
              </w:rPr>
              <w:t>doi:10.1177/0192623315625859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7AD9497C" w14:textId="3CBE08C6" w:rsidR="002D7AFC" w:rsidRPr="00800BBE" w:rsidRDefault="002D7AFC" w:rsidP="00800B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14:paraId="3A954668" w14:textId="77777777" w:rsidTr="00C84CE6">
        <w:tc>
          <w:tcPr>
            <w:tcW w:w="566" w:type="dxa"/>
          </w:tcPr>
          <w:p w14:paraId="09064513" w14:textId="0DAF2003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84" w:type="dxa"/>
          </w:tcPr>
          <w:p w14:paraId="42E55639" w14:textId="77777777" w:rsid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 D., Yu J.Y., Yang S., Wu M., Hammad S.M.,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Connel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R., Du M., Chen J., Lyons T. J. </w:t>
            </w:r>
          </w:p>
          <w:p w14:paraId="50949177" w14:textId="5FF86CC0" w:rsidR="002D7AFC" w:rsidRP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Survival or death: a dual role for autophagy in stress-induce pericyte loss in diabetic retinopathy. 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Diabetologia, 2016, Vol. 59, no. 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A21A4" w:rsidRP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="00AA21A4"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2251–2261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393" w:type="dxa"/>
          </w:tcPr>
          <w:p w14:paraId="6E9D5878" w14:textId="28417727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2557F66C" w14:textId="031CB8A0" w:rsidR="002D7AFC" w:rsidRPr="006F305F" w:rsidRDefault="006F305F" w:rsidP="006F30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305F">
              <w:rPr>
                <w:rFonts w:ascii="Times New Roman" w:hAnsi="Times New Roman" w:cs="Times New Roman"/>
                <w:sz w:val="28"/>
                <w:szCs w:val="28"/>
              </w:rPr>
              <w:t>[doi:10.1007/s00125-016-4058-5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282585" w14:paraId="6CEAD952" w14:textId="77777777" w:rsidTr="00C84CE6">
        <w:tc>
          <w:tcPr>
            <w:tcW w:w="566" w:type="dxa"/>
          </w:tcPr>
          <w:p w14:paraId="651E6276" w14:textId="5792D7DF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384" w:type="dxa"/>
          </w:tcPr>
          <w:p w14:paraId="7C0DFED9" w14:textId="77777777" w:rsid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Garg A.D., Romano E.,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Rufo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Agostinis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 </w:t>
            </w:r>
          </w:p>
          <w:p w14:paraId="59B425B4" w14:textId="4A45027C" w:rsidR="002D7AFC" w:rsidRP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Immunogenic versus tolerogenic phagocytosis during anticancer therapy mechanisms and clinical translation. Cell Death Differ.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A21A4"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938–951. </w:t>
            </w:r>
          </w:p>
        </w:tc>
        <w:tc>
          <w:tcPr>
            <w:tcW w:w="5393" w:type="dxa"/>
          </w:tcPr>
          <w:p w14:paraId="6F174640" w14:textId="1B20475E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44E2F9AA" w14:textId="52F588A0" w:rsidR="00282585" w:rsidRPr="00282585" w:rsidRDefault="00282585" w:rsidP="002825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282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doi:10.1038/cdd.2016.5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6AEEF99D" w14:textId="18359E34" w:rsidR="002D7AFC" w:rsidRPr="00282585" w:rsidRDefault="002D7AFC" w:rsidP="002825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:rsidRPr="00282585" w14:paraId="5B091102" w14:textId="77777777" w:rsidTr="00C84CE6">
        <w:tc>
          <w:tcPr>
            <w:tcW w:w="566" w:type="dxa"/>
          </w:tcPr>
          <w:p w14:paraId="65994550" w14:textId="6633E2C6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84" w:type="dxa"/>
          </w:tcPr>
          <w:p w14:paraId="10199C2A" w14:textId="77777777" w:rsid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Green D.R. </w:t>
            </w:r>
          </w:p>
          <w:p w14:paraId="4404EFFE" w14:textId="3B061104" w:rsidR="002D7AFC" w:rsidRP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 death and the immune system: getting to how and why. Immunol. Rev.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AA21A4"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277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pp.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4–8. </w:t>
            </w:r>
          </w:p>
        </w:tc>
        <w:tc>
          <w:tcPr>
            <w:tcW w:w="5393" w:type="dxa"/>
          </w:tcPr>
          <w:p w14:paraId="0C77CCA0" w14:textId="394FF83B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6C0C2DC9" w14:textId="49BA5C3D" w:rsidR="00282585" w:rsidRPr="00282585" w:rsidRDefault="00282585" w:rsidP="002825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282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doi:10.1111/imr.12553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6AF1D86F" w14:textId="0D7159E5" w:rsidR="002D7AFC" w:rsidRPr="00282585" w:rsidRDefault="002D7AFC" w:rsidP="002825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:rsidRPr="00705C24" w14:paraId="07977D89" w14:textId="77777777" w:rsidTr="00C84CE6">
        <w:tc>
          <w:tcPr>
            <w:tcW w:w="566" w:type="dxa"/>
          </w:tcPr>
          <w:p w14:paraId="7261A2A5" w14:textId="3E88FB54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384" w:type="dxa"/>
          </w:tcPr>
          <w:p w14:paraId="6763E116" w14:textId="77777777" w:rsid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Green D.R.,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Oguin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T.H., Martinez J. </w:t>
            </w:r>
          </w:p>
          <w:p w14:paraId="26A98C81" w14:textId="71C46D24" w:rsidR="002D7AFC" w:rsidRPr="00785CF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clearance of dying cells: table for two. Cell Death Differ.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4B455B"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915–926. </w:t>
            </w:r>
          </w:p>
        </w:tc>
        <w:tc>
          <w:tcPr>
            <w:tcW w:w="5393" w:type="dxa"/>
          </w:tcPr>
          <w:p w14:paraId="517FEE61" w14:textId="2A109A67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76249E79" w14:textId="41401CAE" w:rsidR="00705C24" w:rsidRPr="00705C24" w:rsidRDefault="00705C24" w:rsidP="00960D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960D3B" w:rsidRPr="00960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doi:10.1038/cdd.2015.172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33E8DDF3" w14:textId="53990678" w:rsidR="002D7AFC" w:rsidRPr="00705C24" w:rsidRDefault="002D7AFC" w:rsidP="00960D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14:paraId="57530037" w14:textId="77777777" w:rsidTr="00C84CE6">
        <w:tc>
          <w:tcPr>
            <w:tcW w:w="566" w:type="dxa"/>
          </w:tcPr>
          <w:p w14:paraId="384B76DE" w14:textId="006708F1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384" w:type="dxa"/>
          </w:tcPr>
          <w:p w14:paraId="421BFBD0" w14:textId="0F798712" w:rsidR="002D7AFC" w:rsidRPr="004525ED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Hakonen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Chandral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Fogarty C. L., Yu N.Y., Ustinov J., Katayama S., Galli E., Danilova T., Lindholm P.,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Vartiainen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Einarsdottir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Krjutškov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Kere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Saarma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Lindah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Otonkoski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 MANF protects human pancreatic beta cells against stress-induced cell death. </w:t>
            </w:r>
            <w:r w:rsidRPr="004525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Diabetologia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4B455B" w:rsidRPr="004525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4525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4525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4525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2202–2214. </w:t>
            </w:r>
          </w:p>
        </w:tc>
        <w:tc>
          <w:tcPr>
            <w:tcW w:w="5393" w:type="dxa"/>
          </w:tcPr>
          <w:p w14:paraId="46983A3F" w14:textId="6F7C2D62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58FF5B00" w14:textId="151154C3" w:rsidR="002D7AFC" w:rsidRPr="00F74714" w:rsidRDefault="00F74714" w:rsidP="00F747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F74714">
              <w:rPr>
                <w:rFonts w:ascii="Times New Roman" w:hAnsi="Times New Roman" w:cs="Times New Roman"/>
                <w:sz w:val="28"/>
                <w:szCs w:val="28"/>
              </w:rPr>
              <w:t>doi.org/10.1007/s00125-018-4687-y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4433A9B6" w14:textId="77777777" w:rsidTr="00C84CE6">
        <w:tc>
          <w:tcPr>
            <w:tcW w:w="566" w:type="dxa"/>
          </w:tcPr>
          <w:p w14:paraId="16019DE4" w14:textId="0C854801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384" w:type="dxa"/>
          </w:tcPr>
          <w:p w14:paraId="540EB9CF" w14:textId="77777777" w:rsidR="00785CF9" w:rsidRPr="00F92123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Hammes</w:t>
            </w:r>
            <w:proofErr w:type="spellEnd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H.P. </w:t>
            </w:r>
          </w:p>
          <w:p w14:paraId="5712FC95" w14:textId="578C6527" w:rsidR="002D7AFC" w:rsidRPr="00F92123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Diabetic retinopathy: </w:t>
            </w:r>
            <w:proofErr w:type="spellStart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hyperglycaemia</w:t>
            </w:r>
            <w:proofErr w:type="spellEnd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oxidative stress and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beyond. Diabetologia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B455B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29–38. </w:t>
            </w:r>
          </w:p>
        </w:tc>
        <w:tc>
          <w:tcPr>
            <w:tcW w:w="5393" w:type="dxa"/>
          </w:tcPr>
          <w:p w14:paraId="0E70C848" w14:textId="07FFC445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4820" w:type="dxa"/>
          </w:tcPr>
          <w:p w14:paraId="17C03811" w14:textId="3BCF8180" w:rsidR="002D7AFC" w:rsidRPr="00F74714" w:rsidRDefault="005E1269" w:rsidP="005E12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5E1269">
              <w:rPr>
                <w:rFonts w:ascii="Times New Roman" w:hAnsi="Times New Roman" w:cs="Times New Roman"/>
                <w:sz w:val="28"/>
                <w:szCs w:val="28"/>
              </w:rPr>
              <w:t>doi.org/10.1007/s00125-017-4435-8</w:t>
            </w:r>
            <w:r w:rsidR="00F747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4776A53F" w14:textId="77777777" w:rsidTr="00C84CE6">
        <w:tc>
          <w:tcPr>
            <w:tcW w:w="566" w:type="dxa"/>
          </w:tcPr>
          <w:p w14:paraId="4F1E92A9" w14:textId="4BB6DA66" w:rsidR="002D7AFC" w:rsidRPr="00F07DB0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B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384" w:type="dxa"/>
          </w:tcPr>
          <w:p w14:paraId="5A843AD4" w14:textId="48CB5C28" w:rsidR="00785CF9" w:rsidRPr="00A360A9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Kumagai</w:t>
            </w:r>
            <w:proofErr w:type="spellEnd"/>
            <w:r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Akiyama H., Iwashita S.</w:t>
            </w:r>
            <w:r w:rsidR="00A36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A360A9" w:rsidRPr="00A36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Iida H</w:t>
            </w:r>
            <w:r w:rsidR="00A36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r w:rsidR="00A360A9" w:rsidRPr="00A36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 </w:t>
            </w:r>
            <w:proofErr w:type="spellStart"/>
            <w:r w:rsidR="00A360A9" w:rsidRPr="00A36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Yahara</w:t>
            </w:r>
            <w:proofErr w:type="spellEnd"/>
            <w:r w:rsidR="00A360A9" w:rsidRPr="00A36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="00A36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2ED3941" w14:textId="5519AF1F" w:rsidR="002D7AFC" w:rsidRPr="00F14182" w:rsidRDefault="00785CF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vitro regeneration of resting lymphocytes from stimulated lymphocytes and its inhibition by insulin. </w:t>
            </w:r>
            <w:proofErr w:type="spellStart"/>
            <w:r w:rsidRPr="00F14182">
              <w:rPr>
                <w:rFonts w:ascii="Times New Roman" w:hAnsi="Times New Roman" w:cs="Times New Roman"/>
                <w:sz w:val="28"/>
                <w:szCs w:val="28"/>
              </w:rPr>
              <w:t>J.Immunol</w:t>
            </w:r>
            <w:proofErr w:type="spellEnd"/>
            <w:r w:rsidRPr="00F141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455B"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14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55B" w:rsidRPr="00F14182">
              <w:rPr>
                <w:rFonts w:ascii="Times New Roman" w:hAnsi="Times New Roman" w:cs="Times New Roman"/>
                <w:sz w:val="28"/>
                <w:szCs w:val="28"/>
              </w:rPr>
              <w:t>1981</w:t>
            </w:r>
            <w:r w:rsidR="004B455B"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F14182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="004B455B"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F141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455B"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F14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55B"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pp. </w:t>
            </w:r>
            <w:r w:rsidRPr="00F14182">
              <w:rPr>
                <w:rFonts w:ascii="Times New Roman" w:hAnsi="Times New Roman" w:cs="Times New Roman"/>
                <w:sz w:val="28"/>
                <w:szCs w:val="28"/>
              </w:rPr>
              <w:t xml:space="preserve">1249-1254. </w:t>
            </w:r>
          </w:p>
        </w:tc>
        <w:tc>
          <w:tcPr>
            <w:tcW w:w="5393" w:type="dxa"/>
          </w:tcPr>
          <w:p w14:paraId="41BA66FA" w14:textId="617E2CAC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270D6208" w14:textId="606CB237" w:rsidR="002D7AFC" w:rsidRPr="00902C24" w:rsidRDefault="00902C24" w:rsidP="00902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F14182" w:rsidRPr="00F141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Scholar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705C24" w14:paraId="79582E80" w14:textId="77777777" w:rsidTr="00C84CE6">
        <w:tc>
          <w:tcPr>
            <w:tcW w:w="566" w:type="dxa"/>
          </w:tcPr>
          <w:p w14:paraId="557D5DB3" w14:textId="773BDCF0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45807DCF" w14:textId="62DC3608" w:rsidR="002D7AFC" w:rsidRPr="002D7AFC" w:rsidRDefault="00785CF9" w:rsidP="00785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Pasparakis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Vandenabeele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 Necroptosis and its role in inflammation.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Nature</w:t>
            </w:r>
            <w:proofErr w:type="spellEnd"/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64A2A" w:rsidRPr="00785CF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4B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517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311–320. </w:t>
            </w:r>
          </w:p>
        </w:tc>
        <w:tc>
          <w:tcPr>
            <w:tcW w:w="5393" w:type="dxa"/>
          </w:tcPr>
          <w:p w14:paraId="6D67499C" w14:textId="5D21A7F0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2E7FD697" w14:textId="38185F5C" w:rsidR="002D7AFC" w:rsidRPr="00705C24" w:rsidRDefault="00705C24" w:rsidP="00705C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705C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doi:10.1038/nature1419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07C9C9F7" w14:textId="77777777" w:rsidTr="00C84CE6">
        <w:tc>
          <w:tcPr>
            <w:tcW w:w="566" w:type="dxa"/>
          </w:tcPr>
          <w:p w14:paraId="48F1FEBD" w14:textId="33D31DD1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06C67F04" w14:textId="3927CE2C" w:rsidR="002D7AFC" w:rsidRPr="002D7AFC" w:rsidRDefault="00785CF9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Purwana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Liu J. J.,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Portha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Buteau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HSF1 acetylation decreases its transcriptional activity and enhances glucolipotoxicity-induced apoptosis in rat and human beta cells.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Diabetologia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A2A" w:rsidRPr="00785CF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1432–1441. </w:t>
            </w:r>
          </w:p>
        </w:tc>
        <w:tc>
          <w:tcPr>
            <w:tcW w:w="5393" w:type="dxa"/>
          </w:tcPr>
          <w:p w14:paraId="08037494" w14:textId="1E366A71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079C071E" w14:textId="5B71F45C" w:rsidR="002D7AFC" w:rsidRPr="00F74714" w:rsidRDefault="00F74714" w:rsidP="00F747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F74714">
              <w:rPr>
                <w:rFonts w:ascii="Times New Roman" w:hAnsi="Times New Roman" w:cs="Times New Roman"/>
                <w:sz w:val="28"/>
                <w:szCs w:val="28"/>
              </w:rPr>
              <w:t>doi.org/10.1007/s00125-017-4310-7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6EE4009B" w14:textId="77777777" w:rsidTr="00C84CE6">
        <w:tc>
          <w:tcPr>
            <w:tcW w:w="566" w:type="dxa"/>
          </w:tcPr>
          <w:p w14:paraId="5A593153" w14:textId="347B6626" w:rsidR="002D7AFC" w:rsidRPr="00F07DB0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123" w:rsidRPr="00F07D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7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2AC61DA9" w14:textId="759CB277" w:rsidR="002D7AFC" w:rsidRPr="00CF271E" w:rsidRDefault="00785CF9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Ryan A., Murphy M., Godson C.</w:t>
            </w:r>
            <w:r w:rsidR="00614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14213" w:rsidRPr="00614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Hickey</w:t>
            </w:r>
            <w:r w:rsidR="00614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14213" w:rsidRPr="00614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614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14213" w:rsidRPr="00614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</w:t>
            </w:r>
            <w:r w:rsidR="00614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Diabetes mellitus and apoptosis: inflammatory cells.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Apoptosis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64A2A" w:rsidRPr="00CF27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664A2A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1435-1450. </w:t>
            </w:r>
          </w:p>
        </w:tc>
        <w:tc>
          <w:tcPr>
            <w:tcW w:w="5393" w:type="dxa"/>
          </w:tcPr>
          <w:p w14:paraId="0D6CB470" w14:textId="59E38C86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1E52F093" w14:textId="51B56292" w:rsidR="002D7AFC" w:rsidRPr="005E1269" w:rsidRDefault="005E1269" w:rsidP="007101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7101A9" w:rsidRPr="007101A9">
              <w:rPr>
                <w:rFonts w:ascii="Times New Roman" w:hAnsi="Times New Roman" w:cs="Times New Roman"/>
                <w:sz w:val="28"/>
                <w:szCs w:val="28"/>
              </w:rPr>
              <w:t>doi.org/10.1007/s10495-009-0340-z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576F07EC" w14:textId="77777777" w:rsidTr="00C84CE6">
        <w:tc>
          <w:tcPr>
            <w:tcW w:w="566" w:type="dxa"/>
          </w:tcPr>
          <w:p w14:paraId="548EAF29" w14:textId="1A39862D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305CE17D" w14:textId="77777777" w:rsid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Sachet M., Liang Y.Y.,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Oehler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 </w:t>
            </w:r>
          </w:p>
          <w:p w14:paraId="00E2A093" w14:textId="5F96CBA1" w:rsidR="002D7AFC" w:rsidRP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immune response to secondary necrotic cells. Apoptosis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64A2A"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22, no. 10, pp.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1189-1204. </w:t>
            </w:r>
          </w:p>
        </w:tc>
        <w:tc>
          <w:tcPr>
            <w:tcW w:w="5393" w:type="dxa"/>
          </w:tcPr>
          <w:p w14:paraId="1136D15E" w14:textId="37C40CE1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7F0AABD5" w14:textId="3148A3B0" w:rsidR="002D7AFC" w:rsidRPr="00520831" w:rsidRDefault="00520831" w:rsidP="00520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520831">
              <w:rPr>
                <w:rFonts w:ascii="Times New Roman" w:hAnsi="Times New Roman" w:cs="Times New Roman"/>
                <w:sz w:val="28"/>
                <w:szCs w:val="28"/>
              </w:rPr>
              <w:t>doi.org/10.1007/s10495-017-1413-z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25E9F5A6" w14:textId="77777777" w:rsidTr="00C84CE6">
        <w:tc>
          <w:tcPr>
            <w:tcW w:w="566" w:type="dxa"/>
          </w:tcPr>
          <w:p w14:paraId="309F6E40" w14:textId="609B8AF9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35DA2463" w14:textId="77777777" w:rsid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Sidarala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Kowluru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</w:t>
            </w:r>
          </w:p>
          <w:p w14:paraId="6F5554E1" w14:textId="11F2198A" w:rsidR="002D7AFC" w:rsidRP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Exposure to chronic hyperglycemic conditions results in Ras- related C3 botulinum toxin substrate 1 (Rac1)-mediated activation of p53 and ATM kinase in pancreatic </w:t>
            </w: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-cells. Apoptosis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2017, Vol. 22, no. 5, pp.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597–607.</w:t>
            </w:r>
          </w:p>
        </w:tc>
        <w:tc>
          <w:tcPr>
            <w:tcW w:w="5393" w:type="dxa"/>
          </w:tcPr>
          <w:p w14:paraId="37A62E74" w14:textId="5B5547F5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7D50F593" w14:textId="41CA6D85" w:rsidR="002D7AFC" w:rsidRPr="005E1269" w:rsidRDefault="005E1269" w:rsidP="005E12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1269">
              <w:rPr>
                <w:rFonts w:ascii="Times New Roman" w:hAnsi="Times New Roman" w:cs="Times New Roman"/>
                <w:sz w:val="28"/>
                <w:szCs w:val="28"/>
              </w:rPr>
              <w:t>[doi:10.1007/s10495-017-1354-6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3CED278C" w14:textId="77777777" w:rsidTr="00C84CE6">
        <w:tc>
          <w:tcPr>
            <w:tcW w:w="566" w:type="dxa"/>
          </w:tcPr>
          <w:p w14:paraId="09E34FEA" w14:textId="4D7CEA27" w:rsidR="002D7AFC" w:rsidRDefault="00F92123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D7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1C0FE4AC" w14:textId="77777777" w:rsidR="00EA3996" w:rsidRPr="00785CF9" w:rsidRDefault="00EA3996" w:rsidP="002D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Tchorzewski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Glowacka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Banasik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Lewkowicz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Szalapska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Zawodniak</w:t>
            </w:r>
            <w:proofErr w:type="spellEnd"/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785C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07D6E1D" w14:textId="51A9127B" w:rsidR="002D7AFC" w:rsidRP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Activated T lymphocytes from patients with high risk of type I diabetes mellitus have different ability to produce interferon-</w:t>
            </w:r>
            <w:r w:rsid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γ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interleukin-6 and interleukin-10 and undergo anti-CD95 induced apoptosis after insulin stimulation. Immunology Letters.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64A2A"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2001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  <w:r w:rsidR="00664A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225-234. </w:t>
            </w:r>
          </w:p>
        </w:tc>
        <w:tc>
          <w:tcPr>
            <w:tcW w:w="5393" w:type="dxa"/>
          </w:tcPr>
          <w:p w14:paraId="16F651E3" w14:textId="31C6354E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4CD264C8" w14:textId="018B1786" w:rsidR="00C84CE6" w:rsidRDefault="00597186" w:rsidP="00C84C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C84CE6" w:rsidRPr="00C8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doi.org/10.1016/S01652478(00)00309</w:t>
            </w:r>
            <w:r w:rsidR="00C8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84CE6" w:rsidRPr="00C84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02B034FB" w14:textId="3E7120F3" w:rsidR="002D7AFC" w:rsidRPr="00F14182" w:rsidRDefault="002D7AFC" w:rsidP="00F141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7AFC" w:rsidRPr="00EA3996" w14:paraId="78CDF320" w14:textId="77777777" w:rsidTr="00C84CE6">
        <w:tc>
          <w:tcPr>
            <w:tcW w:w="566" w:type="dxa"/>
          </w:tcPr>
          <w:p w14:paraId="209A4A60" w14:textId="5F80A6B9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5A23F786" w14:textId="7260D557" w:rsidR="002D7AFC" w:rsidRP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Thomas H.E., Trapani J.A., Kay T.W.H. The role of perforin and granzymes in diabetes. Cell Death Differ.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2010, Vol.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17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577–585.</w:t>
            </w:r>
          </w:p>
        </w:tc>
        <w:tc>
          <w:tcPr>
            <w:tcW w:w="5393" w:type="dxa"/>
          </w:tcPr>
          <w:p w14:paraId="30DBC7CA" w14:textId="2A68EA62" w:rsidR="002D7AFC" w:rsidRPr="00EA3996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4820" w:type="dxa"/>
          </w:tcPr>
          <w:p w14:paraId="7A8C70BD" w14:textId="3647A3E2" w:rsidR="002D7AFC" w:rsidRPr="00EA3996" w:rsidRDefault="00715DDA" w:rsidP="00715D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715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doi:10.1038/cdd.2009.165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EA3996" w14:paraId="6FC6C978" w14:textId="77777777" w:rsidTr="00C84CE6">
        <w:tc>
          <w:tcPr>
            <w:tcW w:w="566" w:type="dxa"/>
          </w:tcPr>
          <w:p w14:paraId="336F2CD3" w14:textId="4F2E5B08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4B35037E" w14:textId="3F01928A" w:rsid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Vives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-Pi M.,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Rodrıguez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-Fernandez S., Pujol-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Autonell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</w:t>
            </w:r>
          </w:p>
          <w:p w14:paraId="4B1759AB" w14:textId="73B10CE5" w:rsidR="002D7AFC" w:rsidRP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How apoptotic b-cells direct immune response to tolerance or to autoimmune diabetes: a review.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Apoptosis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20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2A2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no. 3, 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pp.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263–272.</w:t>
            </w:r>
          </w:p>
        </w:tc>
        <w:tc>
          <w:tcPr>
            <w:tcW w:w="5393" w:type="dxa"/>
          </w:tcPr>
          <w:p w14:paraId="59D7C5BE" w14:textId="541A3211" w:rsidR="002D7AFC" w:rsidRPr="00EA3996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–</w:t>
            </w:r>
          </w:p>
        </w:tc>
        <w:tc>
          <w:tcPr>
            <w:tcW w:w="4820" w:type="dxa"/>
          </w:tcPr>
          <w:p w14:paraId="45C9F4F2" w14:textId="4B61C513" w:rsidR="002D7AFC" w:rsidRPr="00EA3996" w:rsidRDefault="00AC6D5C" w:rsidP="00597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AC6D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doi.org/10.1007/s10495-015-1090-8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:rsidRPr="00520831" w14:paraId="1ABF79CF" w14:textId="77777777" w:rsidTr="00C84CE6">
        <w:tc>
          <w:tcPr>
            <w:tcW w:w="566" w:type="dxa"/>
          </w:tcPr>
          <w:p w14:paraId="25464C40" w14:textId="4E8F00D5" w:rsidR="002D7AFC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21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4" w:type="dxa"/>
          </w:tcPr>
          <w:p w14:paraId="69C2585B" w14:textId="77777777" w:rsid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Weinlich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Oberst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Beere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H.M., Green D.R. </w:t>
            </w:r>
          </w:p>
          <w:p w14:paraId="13883665" w14:textId="77777777" w:rsid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Necroptosis in development, inflammation and disease. </w:t>
            </w:r>
          </w:p>
          <w:p w14:paraId="14E7EB60" w14:textId="4F8E510A" w:rsidR="002D7AFC" w:rsidRPr="00EA3996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Nat. Rev. Mol. Cell. Biol.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FF5A66"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pp.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127–136. </w:t>
            </w:r>
          </w:p>
        </w:tc>
        <w:tc>
          <w:tcPr>
            <w:tcW w:w="5393" w:type="dxa"/>
          </w:tcPr>
          <w:p w14:paraId="203D773A" w14:textId="0B89DEB5" w:rsidR="002D7AFC" w:rsidRPr="00EA3996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4820" w:type="dxa"/>
          </w:tcPr>
          <w:p w14:paraId="69078014" w14:textId="28DC7D2D" w:rsidR="00520831" w:rsidRPr="00520831" w:rsidRDefault="00705C24" w:rsidP="00705C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="00520831" w:rsidRPr="00520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doi:10.1038/nrm.2016.149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7113AC22" w14:textId="16E066E3" w:rsidR="002D7AFC" w:rsidRPr="00EA3996" w:rsidRDefault="002D7AFC" w:rsidP="00520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92123" w:rsidRPr="00EA3996" w14:paraId="02FA4534" w14:textId="77777777" w:rsidTr="00C84CE6">
        <w:tc>
          <w:tcPr>
            <w:tcW w:w="566" w:type="dxa"/>
          </w:tcPr>
          <w:p w14:paraId="5F7F9926" w14:textId="4846C26B" w:rsidR="00F92123" w:rsidRDefault="00F92123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384" w:type="dxa"/>
          </w:tcPr>
          <w:p w14:paraId="17D8E62F" w14:textId="77777777" w:rsidR="00F92123" w:rsidRPr="00F92123" w:rsidRDefault="00F92123" w:rsidP="00F921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Zhang M., Zhang L., Hu J., Lin J., </w:t>
            </w:r>
            <w:proofErr w:type="spellStart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Tingting</w:t>
            </w:r>
            <w:proofErr w:type="spellEnd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W., </w:t>
            </w:r>
            <w:proofErr w:type="spellStart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Duan</w:t>
            </w:r>
            <w:proofErr w:type="spellEnd"/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Man W., Feng J., Sun L., Jia H., Li C., Zhang R., Wang H., Sun D. </w:t>
            </w:r>
          </w:p>
          <w:p w14:paraId="770346ED" w14:textId="77777777" w:rsidR="00F92123" w:rsidRPr="00F92123" w:rsidRDefault="00F92123" w:rsidP="00F921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MST1 coordinately regulates autophagy and apoptosis in diabetic cardiomyopathy in mice. </w:t>
            </w:r>
          </w:p>
          <w:p w14:paraId="3D23200B" w14:textId="6751061F" w:rsidR="00F92123" w:rsidRPr="00EA3996" w:rsidRDefault="00F92123" w:rsidP="00F921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Diabetologia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FF5A66"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Vol.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F921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2435–2447. </w:t>
            </w:r>
          </w:p>
        </w:tc>
        <w:tc>
          <w:tcPr>
            <w:tcW w:w="5393" w:type="dxa"/>
          </w:tcPr>
          <w:p w14:paraId="07912CA7" w14:textId="77777777" w:rsidR="00F92123" w:rsidRPr="00EA3996" w:rsidRDefault="00F92123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14:paraId="676AB04C" w14:textId="0D45EED2" w:rsidR="00F92123" w:rsidRPr="00EA3996" w:rsidRDefault="00A844CF" w:rsidP="00A844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A844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doi.org/10.1007/s00125-016-4070-9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D7AFC" w14:paraId="09408E22" w14:textId="77777777" w:rsidTr="00C84CE6">
        <w:tc>
          <w:tcPr>
            <w:tcW w:w="566" w:type="dxa"/>
          </w:tcPr>
          <w:p w14:paraId="6EFB259A" w14:textId="05588CDC" w:rsidR="002D7AFC" w:rsidRPr="00F07DB0" w:rsidRDefault="002D7AFC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DB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84" w:type="dxa"/>
          </w:tcPr>
          <w:p w14:paraId="33DE78DC" w14:textId="226A659B" w:rsidR="002D7AFC" w:rsidRPr="00CF271E" w:rsidRDefault="00EA3996" w:rsidP="002D7A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Zhao Y., Scott N.A., </w:t>
            </w:r>
            <w:proofErr w:type="spellStart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Fynch</w:t>
            </w:r>
            <w:proofErr w:type="spellEnd"/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</w:t>
            </w:r>
            <w:r w:rsid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284773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Elkerbout</w:t>
            </w:r>
            <w:proofErr w:type="spellEnd"/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1312A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="00284773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Wong</w:t>
            </w:r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1312A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W.W</w:t>
            </w:r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="00284773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Mason</w:t>
            </w:r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1312A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1312A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</w:t>
            </w:r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284773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Strasser</w:t>
            </w:r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1312A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="00284773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Huang</w:t>
            </w:r>
            <w:r w:rsidR="00D1312A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1312A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</w:t>
            </w:r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F419E5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F419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</w:t>
            </w:r>
            <w:r w:rsidR="00F419E5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84773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F030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284773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W.H</w:t>
            </w:r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525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284773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Thomas</w:t>
            </w:r>
            <w:r w:rsidR="00D1312A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="00D13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1312A" w:rsidRP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284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EA3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Autoreactive T cells induce necrosis and not BCL-2-regulated or death receptor-mediated apoptosis or RIPK3-dependent necroptosis of transplanted islets in a mouse model of type 1 diabetes.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Diabetologia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2015, Vol.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58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F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pp. </w:t>
            </w:r>
            <w:r w:rsidRPr="0078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140-148.</w:t>
            </w:r>
          </w:p>
        </w:tc>
        <w:tc>
          <w:tcPr>
            <w:tcW w:w="5393" w:type="dxa"/>
          </w:tcPr>
          <w:p w14:paraId="78CF69C2" w14:textId="01B41C66" w:rsidR="002D7AFC" w:rsidRDefault="00EA3996" w:rsidP="0079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9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820" w:type="dxa"/>
          </w:tcPr>
          <w:p w14:paraId="48192F83" w14:textId="176EAF79" w:rsidR="002D7AFC" w:rsidRPr="00F91361" w:rsidRDefault="00F91361" w:rsidP="00F913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F91361">
              <w:rPr>
                <w:rFonts w:ascii="Times New Roman" w:hAnsi="Times New Roman" w:cs="Times New Roman"/>
                <w:sz w:val="28"/>
                <w:szCs w:val="28"/>
              </w:rPr>
              <w:t>doi.org/10.1007/s00125-014-3407-5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</w:tbl>
    <w:p w14:paraId="4A805E4B" w14:textId="77777777" w:rsidR="00797A1A" w:rsidRPr="00797A1A" w:rsidRDefault="00797A1A" w:rsidP="00797A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7A198" w14:textId="554EF299" w:rsidR="00797A1A" w:rsidRDefault="00797A1A"/>
    <w:p w14:paraId="50BDC221" w14:textId="1ACD5112" w:rsidR="00797A1A" w:rsidRDefault="00797A1A"/>
    <w:p w14:paraId="51ABD44A" w14:textId="77777777" w:rsidR="00797A1A" w:rsidRDefault="00797A1A" w:rsidP="00797A1A">
      <w:pPr>
        <w:jc w:val="center"/>
      </w:pPr>
    </w:p>
    <w:sectPr w:rsidR="00797A1A" w:rsidSect="002D7AF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17E62"/>
    <w:multiLevelType w:val="multilevel"/>
    <w:tmpl w:val="9EFE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31"/>
    <w:rsid w:val="00003EE8"/>
    <w:rsid w:val="00024E31"/>
    <w:rsid w:val="00063E5A"/>
    <w:rsid w:val="00086722"/>
    <w:rsid w:val="000947F2"/>
    <w:rsid w:val="000B6AC8"/>
    <w:rsid w:val="000C0F4B"/>
    <w:rsid w:val="000E3219"/>
    <w:rsid w:val="00182A56"/>
    <w:rsid w:val="001C06B4"/>
    <w:rsid w:val="00240581"/>
    <w:rsid w:val="00282585"/>
    <w:rsid w:val="00284773"/>
    <w:rsid w:val="002A2926"/>
    <w:rsid w:val="002B28B1"/>
    <w:rsid w:val="002D7AFC"/>
    <w:rsid w:val="00352FA2"/>
    <w:rsid w:val="00386D79"/>
    <w:rsid w:val="003F75CC"/>
    <w:rsid w:val="004166F3"/>
    <w:rsid w:val="004525ED"/>
    <w:rsid w:val="0048038F"/>
    <w:rsid w:val="004B455B"/>
    <w:rsid w:val="00520831"/>
    <w:rsid w:val="00576D84"/>
    <w:rsid w:val="00597186"/>
    <w:rsid w:val="005D13FB"/>
    <w:rsid w:val="005E1269"/>
    <w:rsid w:val="00614213"/>
    <w:rsid w:val="00664A2A"/>
    <w:rsid w:val="006F305F"/>
    <w:rsid w:val="00702340"/>
    <w:rsid w:val="00705C24"/>
    <w:rsid w:val="007101A9"/>
    <w:rsid w:val="00715DDA"/>
    <w:rsid w:val="00744BF7"/>
    <w:rsid w:val="007505F7"/>
    <w:rsid w:val="00785CF9"/>
    <w:rsid w:val="00797A1A"/>
    <w:rsid w:val="00800BBE"/>
    <w:rsid w:val="00826AFD"/>
    <w:rsid w:val="00831C2E"/>
    <w:rsid w:val="008A4821"/>
    <w:rsid w:val="00902C24"/>
    <w:rsid w:val="0093427F"/>
    <w:rsid w:val="00934C08"/>
    <w:rsid w:val="009414D4"/>
    <w:rsid w:val="00960D3B"/>
    <w:rsid w:val="009B2996"/>
    <w:rsid w:val="00A360A9"/>
    <w:rsid w:val="00A844CF"/>
    <w:rsid w:val="00AA21A4"/>
    <w:rsid w:val="00AC6D5C"/>
    <w:rsid w:val="00B76B52"/>
    <w:rsid w:val="00B945C2"/>
    <w:rsid w:val="00BF64D9"/>
    <w:rsid w:val="00C10210"/>
    <w:rsid w:val="00C6427F"/>
    <w:rsid w:val="00C7051C"/>
    <w:rsid w:val="00C83BC3"/>
    <w:rsid w:val="00C84CE6"/>
    <w:rsid w:val="00CF271E"/>
    <w:rsid w:val="00CF638F"/>
    <w:rsid w:val="00D1312A"/>
    <w:rsid w:val="00E27484"/>
    <w:rsid w:val="00E95781"/>
    <w:rsid w:val="00EA3996"/>
    <w:rsid w:val="00F0305E"/>
    <w:rsid w:val="00F07DB0"/>
    <w:rsid w:val="00F14182"/>
    <w:rsid w:val="00F15B78"/>
    <w:rsid w:val="00F419E5"/>
    <w:rsid w:val="00F74714"/>
    <w:rsid w:val="00F91361"/>
    <w:rsid w:val="00F92123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C9B9"/>
  <w15:chartTrackingRefBased/>
  <w15:docId w15:val="{88888502-299A-442A-BC90-FCD23DD5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9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7A1A"/>
    <w:rPr>
      <w:b/>
      <w:bCs/>
    </w:rPr>
  </w:style>
  <w:style w:type="character" w:styleId="a6">
    <w:name w:val="Hyperlink"/>
    <w:basedOn w:val="a0"/>
    <w:uiPriority w:val="99"/>
    <w:unhideWhenUsed/>
    <w:rsid w:val="00B76B5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76B52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B76B5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76B5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76B5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76B5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76B5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76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6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ru/item.asp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g89213159748@gmail.com</dc:creator>
  <cp:keywords/>
  <dc:description/>
  <cp:lastModifiedBy>g89213159748@gmail.com</cp:lastModifiedBy>
  <cp:revision>85</cp:revision>
  <cp:lastPrinted>2019-10-20T17:16:00Z</cp:lastPrinted>
  <dcterms:created xsi:type="dcterms:W3CDTF">2019-07-16T15:23:00Z</dcterms:created>
  <dcterms:modified xsi:type="dcterms:W3CDTF">2019-10-20T17:48:00Z</dcterms:modified>
</cp:coreProperties>
</file>