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2B" w:rsidRDefault="00552011">
      <w:pPr>
        <w:spacing w:line="360" w:lineRule="auto"/>
        <w:jc w:val="right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Таблица 1</w:t>
      </w:r>
    </w:p>
    <w:p w:rsidR="00527E2B" w:rsidRDefault="00552011">
      <w:pPr>
        <w:spacing w:line="360" w:lineRule="auto"/>
        <w:ind w:left="7766"/>
        <w:jc w:val="center"/>
      </w:pPr>
      <w:r>
        <w:rPr>
          <w:rStyle w:val="normaltextrun"/>
          <w:sz w:val="28"/>
          <w:szCs w:val="28"/>
          <w:lang w:val="ru-RU"/>
        </w:rPr>
        <w:t xml:space="preserve">    </w:t>
      </w:r>
      <w:r>
        <w:rPr>
          <w:rStyle w:val="normaltextrun"/>
          <w:sz w:val="28"/>
          <w:szCs w:val="28"/>
          <w:lang w:val="en-US"/>
        </w:rPr>
        <w:t>Table</w:t>
      </w:r>
      <w:r>
        <w:rPr>
          <w:rStyle w:val="normaltextrun"/>
          <w:sz w:val="28"/>
          <w:szCs w:val="28"/>
          <w:lang w:val="ru-RU"/>
        </w:rPr>
        <w:t xml:space="preserve"> 1</w:t>
      </w:r>
    </w:p>
    <w:p w:rsidR="00527E2B" w:rsidRDefault="00552011">
      <w:pPr>
        <w:jc w:val="center"/>
      </w:pPr>
      <w:r>
        <w:rPr>
          <w:sz w:val="28"/>
          <w:lang w:val="ru-RU"/>
        </w:rPr>
        <w:t>Корреляционные связи показателей активности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>Ф)- зависимых</w:t>
      </w:r>
    </w:p>
    <w:p w:rsidR="00527E2B" w:rsidRDefault="00552011">
      <w:pPr>
        <w:jc w:val="center"/>
        <w:rPr>
          <w:sz w:val="28"/>
          <w:lang w:val="ru-RU"/>
        </w:rPr>
      </w:pP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 xml:space="preserve"> с </w:t>
      </w:r>
      <w:proofErr w:type="spellStart"/>
      <w:r>
        <w:rPr>
          <w:sz w:val="28"/>
          <w:lang w:val="ru-RU"/>
        </w:rPr>
        <w:t>иммунофенотипом</w:t>
      </w:r>
      <w:proofErr w:type="spellEnd"/>
      <w:r>
        <w:rPr>
          <w:sz w:val="28"/>
          <w:lang w:val="ru-RU"/>
        </w:rPr>
        <w:t xml:space="preserve"> лимфоцитов периферической крови у детей контрольной группы</w:t>
      </w:r>
    </w:p>
    <w:p w:rsidR="00527E2B" w:rsidRDefault="00552011">
      <w:pPr>
        <w:jc w:val="center"/>
      </w:pPr>
      <w:r>
        <w:rPr>
          <w:rStyle w:val="normaltextrun"/>
          <w:sz w:val="28"/>
          <w:szCs w:val="28"/>
          <w:lang w:val="en-US"/>
        </w:rPr>
        <w:t>Correlations of activity indicators of 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 xml:space="preserve"> dehydrogenases with the </w:t>
      </w:r>
      <w:proofErr w:type="spellStart"/>
      <w:r>
        <w:rPr>
          <w:rStyle w:val="normaltextrun"/>
          <w:sz w:val="28"/>
          <w:szCs w:val="28"/>
          <w:lang w:val="en-US"/>
        </w:rPr>
        <w:t>immunophenotype</w:t>
      </w:r>
      <w:proofErr w:type="spellEnd"/>
      <w:r>
        <w:rPr>
          <w:rStyle w:val="normaltextrun"/>
          <w:sz w:val="28"/>
          <w:szCs w:val="28"/>
          <w:lang w:val="en-US"/>
        </w:rPr>
        <w:t xml:space="preserve"> of peripheral blood lymphocytes in children of the control group</w:t>
      </w:r>
    </w:p>
    <w:p w:rsidR="00527E2B" w:rsidRPr="00552011" w:rsidRDefault="00527E2B">
      <w:pPr>
        <w:jc w:val="center"/>
        <w:rPr>
          <w:lang w:val="en-US"/>
        </w:rPr>
      </w:pPr>
    </w:p>
    <w:tbl>
      <w:tblPr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2444"/>
        <w:gridCol w:w="2414"/>
        <w:gridCol w:w="2419"/>
      </w:tblGrid>
      <w:tr w:rsidR="00527E2B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Иммунологический показатель</w:t>
            </w:r>
          </w:p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Immunological indicator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Ферменты</w:t>
            </w:r>
          </w:p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Enzymes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p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ru-RU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+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,абс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>,abs.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НАДНЛДГ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NADHLDH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- 0,55</w:t>
            </w:r>
          </w:p>
          <w:p w:rsidR="00527E2B" w:rsidRDefault="00527E2B">
            <w:pPr>
              <w:spacing w:line="360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0,01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ru-RU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+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>, abs.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НАДФНГДГ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NADPHGDH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0,74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0,001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НАДНГДГ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NADHGDH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- 0,54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0,01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НАДНГДГ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NADHGDH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- 0,52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0,01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ru-RU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+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>, abs.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НАДНМДГ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NADHMDH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- 0,43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0,05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НАДНМДГ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NADHMDH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- 0,39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НАДНЛДГ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NADHLDH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- 0,46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ru-RU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+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,абс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>,abs.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НАДЛДГ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NADLDH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0,67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0,001</w:t>
            </w:r>
          </w:p>
        </w:tc>
      </w:tr>
      <w:tr w:rsidR="00527E2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16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/56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>, %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16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vertAlign w:val="subscript"/>
                <w:lang w:val="en-US"/>
              </w:rPr>
              <w:t>/56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>, 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НАДНЛДГ</w:t>
            </w:r>
          </w:p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NADHLDH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0,41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2B" w:rsidRDefault="00552011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0,05</w:t>
            </w:r>
          </w:p>
        </w:tc>
      </w:tr>
    </w:tbl>
    <w:p w:rsidR="00527E2B" w:rsidRDefault="00552011">
      <w:pPr>
        <w:spacing w:line="360" w:lineRule="auto"/>
      </w:pPr>
      <w:r>
        <w:rPr>
          <w:sz w:val="28"/>
          <w:szCs w:val="28"/>
        </w:rPr>
        <w:t xml:space="preserve">            </w:t>
      </w:r>
    </w:p>
    <w:p w:rsidR="00527E2B" w:rsidRDefault="00527E2B">
      <w:pPr>
        <w:spacing w:line="360" w:lineRule="auto"/>
        <w:rPr>
          <w:lang w:val="en-US"/>
        </w:rPr>
      </w:pPr>
    </w:p>
    <w:p w:rsidR="00527E2B" w:rsidRDefault="00527E2B">
      <w:pPr>
        <w:spacing w:line="360" w:lineRule="auto"/>
        <w:rPr>
          <w:sz w:val="28"/>
          <w:lang w:val="en-US"/>
        </w:rPr>
      </w:pPr>
    </w:p>
    <w:p w:rsidR="00527E2B" w:rsidRDefault="00527E2B">
      <w:pPr>
        <w:spacing w:line="360" w:lineRule="auto"/>
        <w:rPr>
          <w:sz w:val="28"/>
          <w:szCs w:val="28"/>
        </w:rPr>
      </w:pPr>
    </w:p>
    <w:sectPr w:rsidR="00527E2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2011">
      <w:r>
        <w:separator/>
      </w:r>
    </w:p>
  </w:endnote>
  <w:endnote w:type="continuationSeparator" w:id="0">
    <w:p w:rsidR="00000000" w:rsidRDefault="0055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2011">
      <w:r>
        <w:rPr>
          <w:color w:val="000000"/>
        </w:rPr>
        <w:separator/>
      </w:r>
    </w:p>
  </w:footnote>
  <w:footnote w:type="continuationSeparator" w:id="0">
    <w:p w:rsidR="00000000" w:rsidRDefault="0055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7E2B"/>
    <w:rsid w:val="00527E2B"/>
    <w:rsid w:val="0055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2019-09-24T06:48:00Z</dcterms:created>
  <dcterms:modified xsi:type="dcterms:W3CDTF">2019-09-24T06:48:00Z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