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7A" w:rsidRDefault="000730D5">
      <w:pPr>
        <w:pStyle w:val="Standard"/>
        <w:spacing w:line="360" w:lineRule="auto"/>
        <w:jc w:val="center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Введение</w:t>
      </w:r>
    </w:p>
    <w:p w:rsidR="00755D7A" w:rsidRDefault="000730D5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Актуальной проблемой педиатрии и практического здравоохранения до сих пор остается патология </w:t>
      </w:r>
      <w:proofErr w:type="spellStart"/>
      <w:r>
        <w:rPr>
          <w:sz w:val="28"/>
          <w:szCs w:val="28"/>
          <w:lang w:val="ru-RU"/>
        </w:rPr>
        <w:t>лимфоглоточного</w:t>
      </w:r>
      <w:proofErr w:type="spellEnd"/>
      <w:r>
        <w:rPr>
          <w:sz w:val="28"/>
          <w:szCs w:val="28"/>
          <w:lang w:val="ru-RU"/>
        </w:rPr>
        <w:t xml:space="preserve"> кольца у детей. Практически каждый ребенок раннего возраста с </w:t>
      </w:r>
      <w:r>
        <w:rPr>
          <w:sz w:val="28"/>
          <w:szCs w:val="28"/>
          <w:lang w:val="ru-RU"/>
        </w:rPr>
        <w:t xml:space="preserve">часто рецидивирующими инфекциями респираторного тракта имеет клинические проявления хронического </w:t>
      </w:r>
      <w:proofErr w:type="spellStart"/>
      <w:r>
        <w:rPr>
          <w:sz w:val="28"/>
          <w:szCs w:val="28"/>
          <w:lang w:val="ru-RU"/>
        </w:rPr>
        <w:t>аденоидита</w:t>
      </w:r>
      <w:proofErr w:type="spellEnd"/>
      <w:r>
        <w:rPr>
          <w:sz w:val="28"/>
          <w:szCs w:val="28"/>
          <w:lang w:val="ru-RU"/>
        </w:rPr>
        <w:t xml:space="preserve"> [4, 5]. Необходимо отметить, что глоточная миндалина, входящая в состав </w:t>
      </w:r>
      <w:proofErr w:type="spellStart"/>
      <w:r>
        <w:rPr>
          <w:sz w:val="28"/>
          <w:szCs w:val="28"/>
          <w:lang w:val="ru-RU"/>
        </w:rPr>
        <w:t>лимфоглоточного</w:t>
      </w:r>
      <w:proofErr w:type="spellEnd"/>
      <w:r>
        <w:rPr>
          <w:sz w:val="28"/>
          <w:szCs w:val="28"/>
          <w:lang w:val="ru-RU"/>
        </w:rPr>
        <w:t xml:space="preserve"> кольца </w:t>
      </w:r>
      <w:proofErr w:type="spellStart"/>
      <w:r>
        <w:rPr>
          <w:sz w:val="28"/>
          <w:szCs w:val="28"/>
          <w:lang w:val="ru-RU"/>
        </w:rPr>
        <w:t>Вальдейера</w:t>
      </w:r>
      <w:proofErr w:type="spellEnd"/>
      <w:r>
        <w:rPr>
          <w:sz w:val="28"/>
          <w:szCs w:val="28"/>
          <w:lang w:val="ru-RU"/>
        </w:rPr>
        <w:t>, как организованная лимфоидная ткань слизи</w:t>
      </w:r>
      <w:r>
        <w:rPr>
          <w:sz w:val="28"/>
          <w:szCs w:val="28"/>
          <w:lang w:val="ru-RU"/>
        </w:rPr>
        <w:t>стых оболочек активно участвует в иммуногенезе [1].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szCs w:val="28"/>
          <w:lang w:val="ru-RU"/>
        </w:rPr>
        <w:tab/>
        <w:t>В настоящее время не вызывает сомнений, что в основе функциональных проявлений лимфоцитов - основного структурно - функционального элемента иммунной системы лежат их метаболические реакции. Уже через нес</w:t>
      </w:r>
      <w:r>
        <w:rPr>
          <w:sz w:val="28"/>
          <w:szCs w:val="28"/>
          <w:lang w:val="ru-RU"/>
        </w:rPr>
        <w:t xml:space="preserve">колько секунд после контакта лимфоцита с антигеном или </w:t>
      </w:r>
      <w:proofErr w:type="spellStart"/>
      <w:r>
        <w:rPr>
          <w:sz w:val="28"/>
          <w:szCs w:val="28"/>
          <w:lang w:val="ru-RU"/>
        </w:rPr>
        <w:t>митогеном</w:t>
      </w:r>
      <w:proofErr w:type="spellEnd"/>
      <w:r>
        <w:rPr>
          <w:sz w:val="28"/>
          <w:szCs w:val="28"/>
          <w:lang w:val="ru-RU"/>
        </w:rPr>
        <w:t xml:space="preserve"> в клеточной мембране активируется </w:t>
      </w:r>
      <w:r>
        <w:rPr>
          <w:sz w:val="28"/>
          <w:szCs w:val="28"/>
          <w:lang w:val="en-US"/>
        </w:rPr>
        <w:t>Na</w:t>
      </w:r>
      <w:r>
        <w:rPr>
          <w:sz w:val="28"/>
          <w:szCs w:val="28"/>
          <w:vertAlign w:val="superscript"/>
          <w:lang w:val="ru-RU"/>
        </w:rPr>
        <w:t>+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perscript"/>
          <w:lang w:val="ru-RU"/>
        </w:rPr>
        <w:t>+</w:t>
      </w: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АТФаза</w:t>
      </w:r>
      <w:proofErr w:type="spellEnd"/>
      <w:r>
        <w:rPr>
          <w:sz w:val="28"/>
          <w:szCs w:val="28"/>
          <w:lang w:val="ru-RU"/>
        </w:rPr>
        <w:t xml:space="preserve">, повышается уровень мембранных </w:t>
      </w:r>
      <w:proofErr w:type="spellStart"/>
      <w:r>
        <w:rPr>
          <w:sz w:val="28"/>
          <w:szCs w:val="28"/>
          <w:lang w:val="ru-RU"/>
        </w:rPr>
        <w:t>метилтрансфераз</w:t>
      </w:r>
      <w:proofErr w:type="spellEnd"/>
      <w:r>
        <w:rPr>
          <w:sz w:val="28"/>
          <w:szCs w:val="28"/>
          <w:lang w:val="ru-RU"/>
        </w:rPr>
        <w:t xml:space="preserve">, возрастает поток </w:t>
      </w:r>
      <w:r>
        <w:rPr>
          <w:sz w:val="28"/>
          <w:szCs w:val="28"/>
          <w:lang w:val="en-US"/>
        </w:rPr>
        <w:t>Ca</w:t>
      </w:r>
      <w:r>
        <w:rPr>
          <w:sz w:val="28"/>
          <w:szCs w:val="28"/>
          <w:vertAlign w:val="superscript"/>
          <w:lang w:val="ru-RU"/>
        </w:rPr>
        <w:t>++</w:t>
      </w:r>
      <w:r>
        <w:rPr>
          <w:sz w:val="28"/>
          <w:szCs w:val="28"/>
          <w:lang w:val="ru-RU"/>
        </w:rPr>
        <w:t xml:space="preserve"> внутрь клетки, который является необходимым условием для осуществления </w:t>
      </w:r>
      <w:r>
        <w:rPr>
          <w:sz w:val="28"/>
          <w:szCs w:val="28"/>
          <w:lang w:val="ru-RU"/>
        </w:rPr>
        <w:t xml:space="preserve">процессов приводящих к активации </w:t>
      </w:r>
      <w:proofErr w:type="spellStart"/>
      <w:r>
        <w:rPr>
          <w:sz w:val="28"/>
          <w:szCs w:val="28"/>
          <w:lang w:val="ru-RU"/>
        </w:rPr>
        <w:t>гуанилатциклазы</w:t>
      </w:r>
      <w:proofErr w:type="spellEnd"/>
      <w:r>
        <w:rPr>
          <w:sz w:val="28"/>
          <w:szCs w:val="28"/>
          <w:lang w:val="ru-RU"/>
        </w:rPr>
        <w:t xml:space="preserve"> и ингибированию </w:t>
      </w:r>
      <w:proofErr w:type="spellStart"/>
      <w:r>
        <w:rPr>
          <w:sz w:val="28"/>
          <w:szCs w:val="28"/>
          <w:lang w:val="ru-RU"/>
        </w:rPr>
        <w:t>адениламциклазы</w:t>
      </w:r>
      <w:proofErr w:type="spellEnd"/>
      <w:r>
        <w:rPr>
          <w:sz w:val="28"/>
          <w:szCs w:val="28"/>
          <w:lang w:val="ru-RU"/>
        </w:rPr>
        <w:t xml:space="preserve"> [13].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szCs w:val="28"/>
          <w:lang w:val="ru-RU"/>
        </w:rPr>
        <w:tab/>
        <w:t xml:space="preserve">С первых минут пролиферации в лимфоцитах увеличивается потребление </w:t>
      </w:r>
      <w:proofErr w:type="spellStart"/>
      <w:r>
        <w:rPr>
          <w:sz w:val="28"/>
          <w:szCs w:val="28"/>
          <w:lang w:val="ru-RU"/>
        </w:rPr>
        <w:t>аденозинтрифосфата</w:t>
      </w:r>
      <w:proofErr w:type="spellEnd"/>
      <w:r>
        <w:rPr>
          <w:sz w:val="28"/>
          <w:szCs w:val="28"/>
          <w:lang w:val="ru-RU"/>
        </w:rPr>
        <w:t xml:space="preserve"> (АТФ). Активация энергетического обмена </w:t>
      </w:r>
      <w:proofErr w:type="gramStart"/>
      <w:r>
        <w:rPr>
          <w:sz w:val="28"/>
          <w:szCs w:val="28"/>
          <w:lang w:val="ru-RU"/>
        </w:rPr>
        <w:t>во время</w:t>
      </w:r>
      <w:proofErr w:type="gramEnd"/>
      <w:r>
        <w:rPr>
          <w:sz w:val="28"/>
          <w:szCs w:val="28"/>
          <w:lang w:val="ru-RU"/>
        </w:rPr>
        <w:t xml:space="preserve"> пролиферативной активности проявл</w:t>
      </w:r>
      <w:r>
        <w:rPr>
          <w:sz w:val="28"/>
          <w:szCs w:val="28"/>
          <w:lang w:val="ru-RU"/>
        </w:rPr>
        <w:t xml:space="preserve">яется не только в ускорении обмена АТФ, но и в увеличении синтеза </w:t>
      </w:r>
      <w:proofErr w:type="spellStart"/>
      <w:r>
        <w:rPr>
          <w:sz w:val="28"/>
          <w:szCs w:val="28"/>
          <w:lang w:val="ru-RU"/>
        </w:rPr>
        <w:t>пиридиннуклеотидов</w:t>
      </w:r>
      <w:proofErr w:type="spellEnd"/>
      <w:r>
        <w:rPr>
          <w:sz w:val="28"/>
          <w:szCs w:val="28"/>
          <w:lang w:val="ru-RU"/>
        </w:rPr>
        <w:t xml:space="preserve"> [14, 15]. Установлена зависимость экспрессии на лимфоцитах крови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  <w:vertAlign w:val="subscript"/>
          <w:lang w:val="ru-RU"/>
        </w:rPr>
        <w:t>4</w:t>
      </w:r>
      <w:r>
        <w:rPr>
          <w:sz w:val="28"/>
          <w:szCs w:val="28"/>
          <w:vertAlign w:val="superscript"/>
          <w:lang w:val="ru-RU"/>
        </w:rPr>
        <w:t>+</w:t>
      </w:r>
      <w:r>
        <w:rPr>
          <w:sz w:val="28"/>
          <w:szCs w:val="28"/>
          <w:lang w:val="ru-RU"/>
        </w:rPr>
        <w:t xml:space="preserve"> и </w:t>
      </w:r>
      <w:r>
        <w:rPr>
          <w:sz w:val="28"/>
          <w:szCs w:val="28"/>
          <w:lang w:val="en-US"/>
        </w:rPr>
        <w:t>CD</w:t>
      </w:r>
      <w:r>
        <w:rPr>
          <w:sz w:val="28"/>
          <w:szCs w:val="28"/>
          <w:vertAlign w:val="subscript"/>
          <w:lang w:val="ru-RU"/>
        </w:rPr>
        <w:t>8</w:t>
      </w:r>
      <w:r>
        <w:rPr>
          <w:sz w:val="28"/>
          <w:szCs w:val="28"/>
          <w:vertAlign w:val="superscript"/>
          <w:lang w:val="ru-RU"/>
        </w:rPr>
        <w:t>+</w:t>
      </w:r>
      <w:r>
        <w:rPr>
          <w:sz w:val="28"/>
          <w:lang w:val="ru-RU"/>
        </w:rPr>
        <w:t>- антигенов от внутриклеточной концентрации аденозина и аденозиндифосфорной кислоты [6].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  <w:t>Высок</w:t>
      </w:r>
      <w:r>
        <w:rPr>
          <w:sz w:val="28"/>
          <w:lang w:val="ru-RU"/>
        </w:rPr>
        <w:t xml:space="preserve">ую значимость в поддержании функциональной активности лимфоцитов имеют </w:t>
      </w:r>
      <w:proofErr w:type="spellStart"/>
      <w:r>
        <w:rPr>
          <w:sz w:val="28"/>
          <w:lang w:val="ru-RU"/>
        </w:rPr>
        <w:t>глутатион</w:t>
      </w:r>
      <w:proofErr w:type="spellEnd"/>
      <w:r>
        <w:rPr>
          <w:sz w:val="28"/>
          <w:lang w:val="ru-RU"/>
        </w:rPr>
        <w:t xml:space="preserve"> и ферменты </w:t>
      </w:r>
      <w:proofErr w:type="spellStart"/>
      <w:r>
        <w:rPr>
          <w:sz w:val="28"/>
          <w:lang w:val="ru-RU"/>
        </w:rPr>
        <w:t>глутатионового</w:t>
      </w:r>
      <w:proofErr w:type="spellEnd"/>
      <w:r>
        <w:rPr>
          <w:sz w:val="28"/>
          <w:lang w:val="ru-RU"/>
        </w:rPr>
        <w:t xml:space="preserve"> метаболизма. Обнаружено, что </w:t>
      </w:r>
      <w:proofErr w:type="spellStart"/>
      <w:r>
        <w:rPr>
          <w:sz w:val="28"/>
          <w:lang w:val="ru-RU"/>
        </w:rPr>
        <w:t>глутатион</w:t>
      </w:r>
      <w:proofErr w:type="spellEnd"/>
      <w:r>
        <w:rPr>
          <w:sz w:val="28"/>
          <w:lang w:val="ru-RU"/>
        </w:rPr>
        <w:t xml:space="preserve"> может непосредственно модулировать пролиферацию Т-лимфоцитов [10, 11, 12].</w:t>
      </w:r>
    </w:p>
    <w:p w:rsidR="00755D7A" w:rsidRDefault="000730D5">
      <w:pPr>
        <w:pStyle w:val="Standard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>Наряду с изменением в активированн</w:t>
      </w:r>
      <w:r>
        <w:rPr>
          <w:sz w:val="28"/>
          <w:lang w:val="ru-RU"/>
        </w:rPr>
        <w:t xml:space="preserve">ых лимфоцитах интенсивности ионного транспорта, синтеза </w:t>
      </w:r>
      <w:proofErr w:type="spellStart"/>
      <w:r>
        <w:rPr>
          <w:sz w:val="28"/>
          <w:lang w:val="ru-RU"/>
        </w:rPr>
        <w:t>макроэргов</w:t>
      </w:r>
      <w:proofErr w:type="spellEnd"/>
      <w:r>
        <w:rPr>
          <w:sz w:val="28"/>
          <w:lang w:val="ru-RU"/>
        </w:rPr>
        <w:t xml:space="preserve">, и нуклеотидов, а также уровня дыхания, не остается постоянной и активность ферментов. </w:t>
      </w:r>
    </w:p>
    <w:p w:rsidR="00755D7A" w:rsidRDefault="000730D5">
      <w:pPr>
        <w:pStyle w:val="Standard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ab/>
        <w:t xml:space="preserve">Особенно высокой информативностью для исследования метаболизма активированных лимфоцитов обладают </w:t>
      </w:r>
      <w:proofErr w:type="spellStart"/>
      <w:r>
        <w:rPr>
          <w:sz w:val="28"/>
          <w:lang w:val="ru-RU"/>
        </w:rPr>
        <w:t>ок</w:t>
      </w:r>
      <w:r>
        <w:rPr>
          <w:sz w:val="28"/>
          <w:lang w:val="ru-RU"/>
        </w:rPr>
        <w:t>ислительно</w:t>
      </w:r>
      <w:proofErr w:type="spellEnd"/>
      <w:r>
        <w:rPr>
          <w:sz w:val="28"/>
          <w:lang w:val="ru-RU"/>
        </w:rPr>
        <w:t xml:space="preserve"> - восстановительные ферменты. Это связано с тем, что являясь основными переносчиками электронов в клетке, они осуществляют ключевые реакции клеточного метаболизма и координируют сопряженные метаболические пути [8].    </w:t>
      </w:r>
      <w:r>
        <w:rPr>
          <w:sz w:val="28"/>
          <w:lang w:val="ru-RU"/>
        </w:rPr>
        <w:tab/>
      </w:r>
      <w:proofErr w:type="gramStart"/>
      <w:r>
        <w:rPr>
          <w:sz w:val="28"/>
          <w:lang w:val="ru-RU"/>
        </w:rPr>
        <w:t>Исследования</w:t>
      </w:r>
      <w:proofErr w:type="gramEnd"/>
      <w:r>
        <w:rPr>
          <w:sz w:val="28"/>
          <w:lang w:val="ru-RU"/>
        </w:rPr>
        <w:t xml:space="preserve"> проведенные н</w:t>
      </w:r>
      <w:r>
        <w:rPr>
          <w:sz w:val="28"/>
          <w:lang w:val="ru-RU"/>
        </w:rPr>
        <w:t>ами ранее выявили у детей с гипертрофией глоточной миндалины изменения фенотипического спектра лимфоцитов периферической крови [3]. При изучении активности НА</w:t>
      </w:r>
      <w:proofErr w:type="gramStart"/>
      <w:r>
        <w:rPr>
          <w:sz w:val="28"/>
          <w:lang w:val="ru-RU"/>
        </w:rPr>
        <w:t>Д(</w:t>
      </w:r>
      <w:proofErr w:type="gramEnd"/>
      <w:r>
        <w:rPr>
          <w:sz w:val="28"/>
          <w:lang w:val="ru-RU"/>
        </w:rPr>
        <w:t xml:space="preserve">Ф)- зависимых </w:t>
      </w:r>
      <w:proofErr w:type="spellStart"/>
      <w:r>
        <w:rPr>
          <w:sz w:val="28"/>
          <w:lang w:val="ru-RU"/>
        </w:rPr>
        <w:t>дегидрогеназ</w:t>
      </w:r>
      <w:proofErr w:type="spellEnd"/>
      <w:r>
        <w:rPr>
          <w:sz w:val="28"/>
          <w:lang w:val="ru-RU"/>
        </w:rPr>
        <w:t xml:space="preserve"> в лимфоцитах крови у детей раннего возраста с гипертрофией глоточной </w:t>
      </w:r>
      <w:r>
        <w:rPr>
          <w:sz w:val="28"/>
          <w:lang w:val="ru-RU"/>
        </w:rPr>
        <w:t xml:space="preserve">миндалины нами установлено повышение оттока субстратов через глюкозо-6-фосфатдегидрогеназу на пластические процессы, снижение интенсивности анаэробного окисления глюкозы и роли </w:t>
      </w:r>
      <w:proofErr w:type="spellStart"/>
      <w:r>
        <w:rPr>
          <w:sz w:val="28"/>
          <w:lang w:val="ru-RU"/>
        </w:rPr>
        <w:t>малатаспартатного</w:t>
      </w:r>
      <w:proofErr w:type="spellEnd"/>
      <w:r>
        <w:rPr>
          <w:sz w:val="28"/>
          <w:lang w:val="ru-RU"/>
        </w:rPr>
        <w:t xml:space="preserve"> шунта в энергетическом внутриклеточном обмене, а также уменьш</w:t>
      </w:r>
      <w:r>
        <w:rPr>
          <w:sz w:val="28"/>
          <w:lang w:val="ru-RU"/>
        </w:rPr>
        <w:t xml:space="preserve">ение активности </w:t>
      </w:r>
      <w:proofErr w:type="spellStart"/>
      <w:r>
        <w:rPr>
          <w:sz w:val="28"/>
          <w:lang w:val="ru-RU"/>
        </w:rPr>
        <w:t>глутатионредуктазы</w:t>
      </w:r>
      <w:proofErr w:type="spellEnd"/>
      <w:r>
        <w:rPr>
          <w:sz w:val="28"/>
          <w:lang w:val="ru-RU"/>
        </w:rPr>
        <w:t xml:space="preserve">. В то же время в лимфоцитах крови у детей с гипертрофией глоточной миндалины наблюдается высокий уровень субстратного потока по циклу трикарбоновых кислот, вносящему наибольший вклад в процессы внутриклеточного </w:t>
      </w:r>
      <w:proofErr w:type="spellStart"/>
      <w:r>
        <w:rPr>
          <w:sz w:val="28"/>
          <w:lang w:val="ru-RU"/>
        </w:rPr>
        <w:t>энергообра</w:t>
      </w:r>
      <w:r>
        <w:rPr>
          <w:sz w:val="28"/>
          <w:lang w:val="ru-RU"/>
        </w:rPr>
        <w:t>зования</w:t>
      </w:r>
      <w:proofErr w:type="spellEnd"/>
      <w:r>
        <w:rPr>
          <w:sz w:val="28"/>
          <w:lang w:val="ru-RU"/>
        </w:rPr>
        <w:t>. При этом уровень субстратного взаимодействия между циклом Кребса и реакциями аминокислотного обмена снижен [2, 3].</w:t>
      </w:r>
    </w:p>
    <w:p w:rsidR="00755D7A" w:rsidRDefault="000730D5">
      <w:pPr>
        <w:pStyle w:val="Standard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В связи с вышеизложенным целью исследования явилось изучение корреляционный зависимости между </w:t>
      </w:r>
      <w:proofErr w:type="spellStart"/>
      <w:r>
        <w:rPr>
          <w:sz w:val="28"/>
          <w:lang w:val="ru-RU"/>
        </w:rPr>
        <w:t>иммунофенотипом</w:t>
      </w:r>
      <w:proofErr w:type="spellEnd"/>
      <w:r>
        <w:rPr>
          <w:sz w:val="28"/>
          <w:lang w:val="ru-RU"/>
        </w:rPr>
        <w:t xml:space="preserve"> и показателями активн</w:t>
      </w:r>
      <w:r>
        <w:rPr>
          <w:sz w:val="28"/>
          <w:lang w:val="ru-RU"/>
        </w:rPr>
        <w:t>ости НА</w:t>
      </w:r>
      <w:proofErr w:type="gramStart"/>
      <w:r>
        <w:rPr>
          <w:sz w:val="28"/>
          <w:lang w:val="ru-RU"/>
        </w:rPr>
        <w:t>Д(</w:t>
      </w:r>
      <w:proofErr w:type="gramEnd"/>
      <w:r>
        <w:rPr>
          <w:sz w:val="28"/>
          <w:lang w:val="ru-RU"/>
        </w:rPr>
        <w:t xml:space="preserve">Ф)- зависимых </w:t>
      </w:r>
      <w:proofErr w:type="spellStart"/>
      <w:r>
        <w:rPr>
          <w:sz w:val="28"/>
          <w:lang w:val="ru-RU"/>
        </w:rPr>
        <w:t>дегидрогеназ</w:t>
      </w:r>
      <w:proofErr w:type="spellEnd"/>
      <w:r>
        <w:rPr>
          <w:sz w:val="28"/>
          <w:lang w:val="ru-RU"/>
        </w:rPr>
        <w:t xml:space="preserve"> в лимфоцитах периферической крови у детей раннего возраста с гипертрофией глоточной миндалины.</w:t>
      </w:r>
    </w:p>
    <w:p w:rsidR="00755D7A" w:rsidRDefault="000730D5">
      <w:pPr>
        <w:pStyle w:val="Standard"/>
        <w:spacing w:line="360" w:lineRule="auto"/>
        <w:jc w:val="center"/>
        <w:rPr>
          <w:sz w:val="28"/>
          <w:lang w:val="ru-RU"/>
        </w:rPr>
      </w:pPr>
      <w:r>
        <w:rPr>
          <w:sz w:val="28"/>
          <w:lang w:val="ru-RU"/>
        </w:rPr>
        <w:t>Материалы и методы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  <w:t>Обследовано 57 детей в возрасте от 1 года до 3 лет (средний возраст 2,26</w:t>
      </w:r>
      <w:r>
        <w:rPr>
          <w:rFonts w:cs="Times New Roman"/>
          <w:sz w:val="28"/>
          <w:lang w:val="ru-RU"/>
        </w:rPr>
        <w:t>±</w:t>
      </w:r>
      <w:r>
        <w:rPr>
          <w:sz w:val="28"/>
          <w:lang w:val="ru-RU"/>
        </w:rPr>
        <w:t>0,76 лет) с гипертрофией глоточн</w:t>
      </w:r>
      <w:r>
        <w:rPr>
          <w:sz w:val="28"/>
          <w:lang w:val="ru-RU"/>
        </w:rPr>
        <w:t>ой миндалины (ГГМ), из них 32 (56,14%) мальчика и 25 (43,86%) девочек. Диагноз гипертрофии глоточной миндалины был установлен на основании жалоб, клинической (затруднение носового дыхания, дыхание через рот, отделяемое из носа, храп в ночное время) и эндос</w:t>
      </w:r>
      <w:r>
        <w:rPr>
          <w:sz w:val="28"/>
          <w:lang w:val="ru-RU"/>
        </w:rPr>
        <w:t xml:space="preserve">копической (наличие аденоидных вегетаций </w:t>
      </w:r>
      <w:r>
        <w:rPr>
          <w:sz w:val="28"/>
          <w:lang w:val="en-US"/>
        </w:rPr>
        <w:t>II</w:t>
      </w:r>
      <w:r>
        <w:rPr>
          <w:sz w:val="28"/>
          <w:lang w:val="ru-RU"/>
        </w:rPr>
        <w:t xml:space="preserve">, </w:t>
      </w:r>
      <w:r>
        <w:rPr>
          <w:sz w:val="28"/>
          <w:lang w:val="en-US"/>
        </w:rPr>
        <w:t>III</w:t>
      </w:r>
      <w:r>
        <w:rPr>
          <w:sz w:val="28"/>
          <w:lang w:val="ru-RU"/>
        </w:rPr>
        <w:t xml:space="preserve"> степени в полости </w:t>
      </w:r>
      <w:r>
        <w:rPr>
          <w:sz w:val="28"/>
          <w:lang w:val="ru-RU"/>
        </w:rPr>
        <w:lastRenderedPageBreak/>
        <w:t xml:space="preserve">носоглотки) картины. Включением в исследование являлось отсутствие терапии в течение месяца, предшествующего обследованию. 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  <w:t>Контрольную группу составили 35 здоровых детей в возрасте 1-3 ле</w:t>
      </w:r>
      <w:r>
        <w:rPr>
          <w:sz w:val="28"/>
          <w:lang w:val="ru-RU"/>
        </w:rPr>
        <w:t>т (средний возраст 2,14</w:t>
      </w:r>
      <w:r>
        <w:rPr>
          <w:rFonts w:cs="Times New Roman"/>
          <w:sz w:val="28"/>
          <w:lang w:val="ru-RU"/>
        </w:rPr>
        <w:t>±</w:t>
      </w:r>
      <w:r>
        <w:rPr>
          <w:sz w:val="28"/>
          <w:lang w:val="ru-RU"/>
        </w:rPr>
        <w:t xml:space="preserve">0,84 года), из них 19 (54,29%) мальчиков и 16 (45,71%) девочек. 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</w:r>
      <w:proofErr w:type="spellStart"/>
      <w:r>
        <w:rPr>
          <w:sz w:val="28"/>
          <w:lang w:val="ru-RU"/>
        </w:rPr>
        <w:t>Мононуклеары</w:t>
      </w:r>
      <w:proofErr w:type="spellEnd"/>
      <w:r>
        <w:rPr>
          <w:sz w:val="28"/>
          <w:lang w:val="ru-RU"/>
        </w:rPr>
        <w:t xml:space="preserve"> выделяли из цельной </w:t>
      </w:r>
      <w:proofErr w:type="spellStart"/>
      <w:r>
        <w:rPr>
          <w:sz w:val="28"/>
          <w:lang w:val="ru-RU"/>
        </w:rPr>
        <w:t>гепаринизированной</w:t>
      </w:r>
      <w:proofErr w:type="spellEnd"/>
      <w:r>
        <w:rPr>
          <w:sz w:val="28"/>
          <w:lang w:val="ru-RU"/>
        </w:rPr>
        <w:t xml:space="preserve"> крови центрифугированием в градиенте плотности </w:t>
      </w:r>
      <w:proofErr w:type="spellStart"/>
      <w:r>
        <w:rPr>
          <w:sz w:val="28"/>
          <w:lang w:val="ru-RU"/>
        </w:rPr>
        <w:t>фиколл</w:t>
      </w:r>
      <w:proofErr w:type="spellEnd"/>
      <w:r>
        <w:rPr>
          <w:sz w:val="28"/>
          <w:lang w:val="ru-RU"/>
        </w:rPr>
        <w:t xml:space="preserve"> - </w:t>
      </w:r>
      <w:proofErr w:type="spellStart"/>
      <w:r>
        <w:rPr>
          <w:sz w:val="28"/>
          <w:lang w:val="ru-RU"/>
        </w:rPr>
        <w:t>верографина</w:t>
      </w:r>
      <w:proofErr w:type="spellEnd"/>
      <w:r>
        <w:rPr>
          <w:sz w:val="28"/>
          <w:lang w:val="ru-RU"/>
        </w:rPr>
        <w:t xml:space="preserve"> [9]. </w:t>
      </w:r>
      <w:proofErr w:type="gramStart"/>
      <w:r>
        <w:rPr>
          <w:sz w:val="28"/>
          <w:lang w:val="ru-RU"/>
        </w:rPr>
        <w:t xml:space="preserve">Методом проточной </w:t>
      </w:r>
      <w:proofErr w:type="spellStart"/>
      <w:r>
        <w:rPr>
          <w:sz w:val="28"/>
          <w:lang w:val="ru-RU"/>
        </w:rPr>
        <w:t>цитофлуориметрии</w:t>
      </w:r>
      <w:proofErr w:type="spellEnd"/>
      <w:r>
        <w:rPr>
          <w:sz w:val="28"/>
          <w:lang w:val="ru-RU"/>
        </w:rPr>
        <w:t xml:space="preserve"> с испо</w:t>
      </w:r>
      <w:r>
        <w:rPr>
          <w:sz w:val="28"/>
          <w:lang w:val="ru-RU"/>
        </w:rPr>
        <w:t>льзованием прибора «</w:t>
      </w:r>
      <w:proofErr w:type="spellStart"/>
      <w:r>
        <w:rPr>
          <w:sz w:val="28"/>
          <w:lang w:val="en-US"/>
        </w:rPr>
        <w:t>FACSCallibur</w:t>
      </w:r>
      <w:proofErr w:type="spellEnd"/>
      <w:r>
        <w:rPr>
          <w:sz w:val="28"/>
          <w:lang w:val="ru-RU"/>
        </w:rPr>
        <w:t>» (</w:t>
      </w:r>
      <w:r>
        <w:rPr>
          <w:sz w:val="28"/>
          <w:lang w:val="en-US"/>
        </w:rPr>
        <w:t>Becton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en-US"/>
        </w:rPr>
        <w:t>Diskinson</w:t>
      </w:r>
      <w:proofErr w:type="spellEnd"/>
      <w:r>
        <w:rPr>
          <w:sz w:val="28"/>
          <w:lang w:val="ru-RU"/>
        </w:rPr>
        <w:t>, США) и реагентов «</w:t>
      </w:r>
      <w:proofErr w:type="spellStart"/>
      <w:r>
        <w:rPr>
          <w:sz w:val="28"/>
          <w:lang w:val="en-US"/>
        </w:rPr>
        <w:t>Simultest</w:t>
      </w:r>
      <w:proofErr w:type="spellEnd"/>
      <w:r>
        <w:rPr>
          <w:sz w:val="28"/>
          <w:lang w:val="ru-RU"/>
        </w:rPr>
        <w:t xml:space="preserve"> </w:t>
      </w:r>
      <w:r>
        <w:rPr>
          <w:sz w:val="28"/>
          <w:lang w:val="en-US"/>
        </w:rPr>
        <w:t>IMK</w:t>
      </w:r>
      <w:r>
        <w:rPr>
          <w:sz w:val="28"/>
          <w:lang w:val="ru-RU"/>
        </w:rPr>
        <w:t xml:space="preserve">- </w:t>
      </w:r>
      <w:r>
        <w:rPr>
          <w:sz w:val="28"/>
          <w:lang w:val="en-US"/>
        </w:rPr>
        <w:t>lymphocyte</w:t>
      </w:r>
      <w:r>
        <w:rPr>
          <w:sz w:val="28"/>
          <w:lang w:val="ru-RU"/>
        </w:rPr>
        <w:t xml:space="preserve"> </w:t>
      </w:r>
      <w:r>
        <w:rPr>
          <w:sz w:val="28"/>
          <w:lang w:val="en-US"/>
        </w:rPr>
        <w:t>Kit</w:t>
      </w:r>
      <w:r>
        <w:rPr>
          <w:sz w:val="28"/>
          <w:lang w:val="ru-RU"/>
        </w:rPr>
        <w:t xml:space="preserve">» (США), определяли содержание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3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-,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4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-,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8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-,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19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-,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16</w:t>
      </w:r>
      <w:r>
        <w:rPr>
          <w:sz w:val="28"/>
          <w:vertAlign w:val="superscript"/>
          <w:lang w:val="ru-RU"/>
        </w:rPr>
        <w:t>+</w:t>
      </w:r>
      <w:r>
        <w:rPr>
          <w:sz w:val="28"/>
          <w:vertAlign w:val="subscript"/>
          <w:lang w:val="ru-RU"/>
        </w:rPr>
        <w:t>/56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-, в периферической крови. </w:t>
      </w:r>
      <w:proofErr w:type="gramEnd"/>
    </w:p>
    <w:p w:rsidR="00755D7A" w:rsidRDefault="000730D5">
      <w:pPr>
        <w:pStyle w:val="Standard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В лимфоцитах периферической крови осуществляли </w:t>
      </w:r>
      <w:proofErr w:type="spellStart"/>
      <w:r>
        <w:rPr>
          <w:sz w:val="28"/>
          <w:lang w:val="ru-RU"/>
        </w:rPr>
        <w:t>биолюминесцентное</w:t>
      </w:r>
      <w:proofErr w:type="spellEnd"/>
      <w:r>
        <w:rPr>
          <w:sz w:val="28"/>
          <w:lang w:val="ru-RU"/>
        </w:rPr>
        <w:t xml:space="preserve"> определение активности глюкозо-6-фосфатдегидрогеназы (Г6ФДГ), глицерол-3-фосфатдегидрогеназы (Г3ФДГ), НА</w:t>
      </w:r>
      <w:proofErr w:type="gramStart"/>
      <w:r>
        <w:rPr>
          <w:sz w:val="28"/>
          <w:lang w:val="ru-RU"/>
        </w:rPr>
        <w:t>Д-</w:t>
      </w:r>
      <w:proofErr w:type="gramEnd"/>
      <w:r>
        <w:rPr>
          <w:sz w:val="28"/>
          <w:lang w:val="ru-RU"/>
        </w:rPr>
        <w:t xml:space="preserve"> и НАДН- зависимой </w:t>
      </w:r>
      <w:proofErr w:type="spellStart"/>
      <w:r>
        <w:rPr>
          <w:sz w:val="28"/>
          <w:lang w:val="ru-RU"/>
        </w:rPr>
        <w:t>лактатдегидрогеназы</w:t>
      </w:r>
      <w:proofErr w:type="spellEnd"/>
      <w:r>
        <w:rPr>
          <w:sz w:val="28"/>
          <w:lang w:val="ru-RU"/>
        </w:rPr>
        <w:t xml:space="preserve"> (НАДЛДГ, НАДНЛДГ), НАД- и НАДН- зависимой </w:t>
      </w:r>
      <w:proofErr w:type="spellStart"/>
      <w:r>
        <w:rPr>
          <w:sz w:val="28"/>
          <w:lang w:val="ru-RU"/>
        </w:rPr>
        <w:t>малатдегидрогеназы</w:t>
      </w:r>
      <w:proofErr w:type="spellEnd"/>
      <w:r>
        <w:rPr>
          <w:sz w:val="28"/>
          <w:lang w:val="ru-RU"/>
        </w:rPr>
        <w:t xml:space="preserve"> (НАДМДГ, НАДНМДГ), НАД- и НАДН- </w:t>
      </w:r>
      <w:r>
        <w:rPr>
          <w:sz w:val="28"/>
          <w:lang w:val="ru-RU"/>
        </w:rPr>
        <w:t xml:space="preserve">зависимой </w:t>
      </w:r>
      <w:proofErr w:type="spellStart"/>
      <w:r>
        <w:rPr>
          <w:sz w:val="28"/>
          <w:lang w:val="ru-RU"/>
        </w:rPr>
        <w:t>глутаматдегидрогеназы</w:t>
      </w:r>
      <w:proofErr w:type="spellEnd"/>
      <w:r>
        <w:rPr>
          <w:sz w:val="28"/>
          <w:lang w:val="ru-RU"/>
        </w:rPr>
        <w:t xml:space="preserve"> (НАДГДГ, НАДНГДГ), НАДФ- и НАДФН- зависимой </w:t>
      </w:r>
      <w:proofErr w:type="spellStart"/>
      <w:r>
        <w:rPr>
          <w:sz w:val="28"/>
          <w:lang w:val="ru-RU"/>
        </w:rPr>
        <w:t>глутаматдегидрогеназы</w:t>
      </w:r>
      <w:proofErr w:type="spellEnd"/>
      <w:r>
        <w:rPr>
          <w:sz w:val="28"/>
          <w:lang w:val="ru-RU"/>
        </w:rPr>
        <w:t xml:space="preserve"> (НАДФГДГ, НАДФНГДГ), НАД- и НАДФ- зависимой </w:t>
      </w:r>
      <w:proofErr w:type="spellStart"/>
      <w:r>
        <w:rPr>
          <w:sz w:val="28"/>
          <w:lang w:val="ru-RU"/>
        </w:rPr>
        <w:t>изоцитратдегидрогеназы</w:t>
      </w:r>
      <w:proofErr w:type="spellEnd"/>
      <w:r>
        <w:rPr>
          <w:sz w:val="28"/>
          <w:lang w:val="ru-RU"/>
        </w:rPr>
        <w:t xml:space="preserve"> (НАДИЦДГ, НАДФИЦДГ), </w:t>
      </w:r>
      <w:proofErr w:type="spellStart"/>
      <w:r>
        <w:rPr>
          <w:sz w:val="28"/>
          <w:lang w:val="ru-RU"/>
        </w:rPr>
        <w:t>малатдегидрогеназы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декарбоксилирующей</w:t>
      </w:r>
      <w:proofErr w:type="spellEnd"/>
      <w:r>
        <w:rPr>
          <w:sz w:val="28"/>
          <w:lang w:val="ru-RU"/>
        </w:rPr>
        <w:t xml:space="preserve"> (НАДФМДГ) и </w:t>
      </w:r>
      <w:proofErr w:type="spellStart"/>
      <w:r>
        <w:rPr>
          <w:sz w:val="28"/>
          <w:lang w:val="ru-RU"/>
        </w:rPr>
        <w:t>глутатионредуктазы</w:t>
      </w:r>
      <w:proofErr w:type="spellEnd"/>
      <w:r>
        <w:rPr>
          <w:sz w:val="28"/>
          <w:lang w:val="ru-RU"/>
        </w:rPr>
        <w:t xml:space="preserve"> (</w:t>
      </w:r>
      <w:r>
        <w:rPr>
          <w:sz w:val="28"/>
          <w:lang w:val="ru-RU"/>
        </w:rPr>
        <w:t>ГР) [7].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  <w:t xml:space="preserve">Активность исследуемых </w:t>
      </w:r>
      <w:proofErr w:type="spellStart"/>
      <w:r>
        <w:rPr>
          <w:sz w:val="28"/>
          <w:lang w:val="ru-RU"/>
        </w:rPr>
        <w:t>оксидоредуктаз</w:t>
      </w:r>
      <w:proofErr w:type="spellEnd"/>
      <w:r>
        <w:rPr>
          <w:sz w:val="28"/>
          <w:lang w:val="ru-RU"/>
        </w:rPr>
        <w:t xml:space="preserve"> выражали в ферментативных единицах [1Е= 1 </w:t>
      </w:r>
      <w:proofErr w:type="spellStart"/>
      <w:r>
        <w:rPr>
          <w:sz w:val="28"/>
          <w:lang w:val="ru-RU"/>
        </w:rPr>
        <w:t>мкмоль</w:t>
      </w:r>
      <w:proofErr w:type="spellEnd"/>
      <w:r>
        <w:rPr>
          <w:sz w:val="28"/>
          <w:lang w:val="ru-RU"/>
        </w:rPr>
        <w:t>/мин.] на 10</w:t>
      </w:r>
      <w:r>
        <w:rPr>
          <w:sz w:val="28"/>
          <w:vertAlign w:val="superscript"/>
          <w:lang w:val="ru-RU"/>
        </w:rPr>
        <w:t>4</w:t>
      </w:r>
      <w:r>
        <w:rPr>
          <w:sz w:val="28"/>
          <w:lang w:val="ru-RU"/>
        </w:rPr>
        <w:t xml:space="preserve"> клеток. Исследование проводили на ферментативном препарате </w:t>
      </w:r>
      <w:r>
        <w:rPr>
          <w:sz w:val="28"/>
          <w:lang w:val="en-US"/>
        </w:rPr>
        <w:t>NAD</w:t>
      </w:r>
      <w:r>
        <w:rPr>
          <w:sz w:val="28"/>
          <w:lang w:val="ru-RU"/>
        </w:rPr>
        <w:t>(</w:t>
      </w:r>
      <w:r>
        <w:rPr>
          <w:sz w:val="28"/>
          <w:lang w:val="en-US"/>
        </w:rPr>
        <w:t>P</w:t>
      </w:r>
      <w:r>
        <w:rPr>
          <w:sz w:val="28"/>
          <w:lang w:val="ru-RU"/>
        </w:rPr>
        <w:t xml:space="preserve">): </w:t>
      </w:r>
      <w:proofErr w:type="gramStart"/>
      <w:r>
        <w:rPr>
          <w:sz w:val="28"/>
          <w:lang w:val="en-US"/>
        </w:rPr>
        <w:t>FNM</w:t>
      </w:r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оксидоредуктаза</w:t>
      </w:r>
      <w:proofErr w:type="spellEnd"/>
      <w:r>
        <w:rPr>
          <w:sz w:val="28"/>
          <w:lang w:val="ru-RU"/>
        </w:rPr>
        <w:t xml:space="preserve"> - </w:t>
      </w:r>
      <w:proofErr w:type="spellStart"/>
      <w:r>
        <w:rPr>
          <w:sz w:val="28"/>
          <w:lang w:val="ru-RU"/>
        </w:rPr>
        <w:t>люцифераза</w:t>
      </w:r>
      <w:proofErr w:type="spellEnd"/>
      <w:r>
        <w:rPr>
          <w:sz w:val="28"/>
          <w:lang w:val="ru-RU"/>
        </w:rPr>
        <w:t xml:space="preserve"> из </w:t>
      </w:r>
      <w:proofErr w:type="spellStart"/>
      <w:r>
        <w:rPr>
          <w:i/>
          <w:sz w:val="28"/>
          <w:lang w:val="en-US"/>
        </w:rPr>
        <w:t>Photobacterium</w:t>
      </w:r>
      <w:proofErr w:type="spellEnd"/>
      <w:r>
        <w:rPr>
          <w:i/>
          <w:sz w:val="28"/>
          <w:lang w:val="ru-RU"/>
        </w:rPr>
        <w:t xml:space="preserve"> </w:t>
      </w:r>
      <w:proofErr w:type="spellStart"/>
      <w:r>
        <w:rPr>
          <w:i/>
          <w:sz w:val="28"/>
          <w:lang w:val="en-US"/>
        </w:rPr>
        <w:t>leiognathi</w:t>
      </w:r>
      <w:proofErr w:type="spellEnd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Измерение уровня</w:t>
      </w:r>
      <w:r>
        <w:rPr>
          <w:sz w:val="28"/>
          <w:lang w:val="ru-RU"/>
        </w:rPr>
        <w:t xml:space="preserve"> биолюминесценции осуществляли на </w:t>
      </w:r>
      <w:proofErr w:type="spellStart"/>
      <w:r>
        <w:rPr>
          <w:sz w:val="28"/>
          <w:lang w:val="ru-RU"/>
        </w:rPr>
        <w:t>биолюминометре</w:t>
      </w:r>
      <w:proofErr w:type="spellEnd"/>
      <w:r>
        <w:rPr>
          <w:sz w:val="28"/>
          <w:lang w:val="ru-RU"/>
        </w:rPr>
        <w:t xml:space="preserve"> «БЛМ 8801» (Россия).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  <w:t>Статистическая обработка данных проводилась с использованием программы «</w:t>
      </w:r>
      <w:proofErr w:type="spellStart"/>
      <w:r>
        <w:rPr>
          <w:sz w:val="28"/>
          <w:lang w:val="en-US"/>
        </w:rPr>
        <w:t>Statistica</w:t>
      </w:r>
      <w:proofErr w:type="spellEnd"/>
      <w:r>
        <w:rPr>
          <w:sz w:val="28"/>
          <w:lang w:val="ru-RU"/>
        </w:rPr>
        <w:t xml:space="preserve"> </w:t>
      </w:r>
      <w:r>
        <w:rPr>
          <w:sz w:val="28"/>
          <w:lang w:val="en-US"/>
        </w:rPr>
        <w:t>v</w:t>
      </w:r>
      <w:r>
        <w:rPr>
          <w:sz w:val="28"/>
          <w:lang w:val="ru-RU"/>
        </w:rPr>
        <w:t>.6.0» (</w:t>
      </w:r>
      <w:proofErr w:type="spellStart"/>
      <w:r>
        <w:rPr>
          <w:sz w:val="28"/>
          <w:lang w:val="en-US"/>
        </w:rPr>
        <w:t>StatSoft</w:t>
      </w:r>
      <w:proofErr w:type="spellEnd"/>
      <w:r>
        <w:rPr>
          <w:sz w:val="28"/>
          <w:lang w:val="ru-RU"/>
        </w:rPr>
        <w:t xml:space="preserve"> </w:t>
      </w:r>
      <w:r>
        <w:rPr>
          <w:sz w:val="28"/>
          <w:lang w:val="en-US"/>
        </w:rPr>
        <w:t>Ins</w:t>
      </w:r>
      <w:r>
        <w:rPr>
          <w:sz w:val="28"/>
          <w:lang w:val="ru-RU"/>
        </w:rPr>
        <w:t>., США). Нормальность распределения показателей определялась с помощью метода Колм</w:t>
      </w:r>
      <w:r>
        <w:rPr>
          <w:sz w:val="28"/>
          <w:lang w:val="ru-RU"/>
        </w:rPr>
        <w:t xml:space="preserve">огорова – Смирнова (с поправкой </w:t>
      </w:r>
      <w:proofErr w:type="spellStart"/>
      <w:r>
        <w:rPr>
          <w:sz w:val="28"/>
          <w:lang w:val="ru-RU"/>
        </w:rPr>
        <w:t>Лильефорса</w:t>
      </w:r>
      <w:proofErr w:type="spellEnd"/>
      <w:r>
        <w:rPr>
          <w:sz w:val="28"/>
          <w:lang w:val="ru-RU"/>
        </w:rPr>
        <w:t xml:space="preserve">). Количественные показатели, учитывая, нормальное распределение, описывались с использованием средних арифметических </w:t>
      </w:r>
      <w:r>
        <w:rPr>
          <w:sz w:val="28"/>
          <w:lang w:val="ru-RU"/>
        </w:rPr>
        <w:lastRenderedPageBreak/>
        <w:t>значений (</w:t>
      </w:r>
      <w:r>
        <w:rPr>
          <w:sz w:val="28"/>
          <w:lang w:val="en-US"/>
        </w:rPr>
        <w:t>M</w:t>
      </w:r>
      <w:r>
        <w:rPr>
          <w:sz w:val="28"/>
          <w:lang w:val="ru-RU"/>
        </w:rPr>
        <w:t>) и стандартной ошибки среднего (</w:t>
      </w:r>
      <w:r>
        <w:rPr>
          <w:rFonts w:cs="Times New Roman"/>
          <w:sz w:val="28"/>
          <w:lang w:val="ru-RU"/>
        </w:rPr>
        <w:t xml:space="preserve">± </w:t>
      </w:r>
      <w:r>
        <w:rPr>
          <w:sz w:val="28"/>
          <w:lang w:val="en-US"/>
        </w:rPr>
        <w:t>m</w:t>
      </w:r>
      <w:r>
        <w:rPr>
          <w:sz w:val="28"/>
          <w:lang w:val="ru-RU"/>
        </w:rPr>
        <w:t>). Для изучения статистической значимости различи</w:t>
      </w:r>
      <w:r>
        <w:rPr>
          <w:sz w:val="28"/>
          <w:lang w:val="ru-RU"/>
        </w:rPr>
        <w:t xml:space="preserve">й между количественными признаками представленных групп применяли </w:t>
      </w:r>
      <w:r>
        <w:rPr>
          <w:sz w:val="28"/>
          <w:lang w:val="en-US"/>
        </w:rPr>
        <w:t>t</w:t>
      </w:r>
      <w:r>
        <w:rPr>
          <w:sz w:val="28"/>
          <w:lang w:val="ru-RU"/>
        </w:rPr>
        <w:t>-критерий Стьюдента. Для исследования силы взаимосвязей показателей вычислялся коэффициент ранговой корреляции по Пирсону (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>). Критический уровень значимости (</w:t>
      </w:r>
      <w:r>
        <w:rPr>
          <w:sz w:val="28"/>
          <w:lang w:val="en-US"/>
        </w:rPr>
        <w:t>p</w:t>
      </w:r>
      <w:r>
        <w:rPr>
          <w:sz w:val="28"/>
          <w:lang w:val="ru-RU"/>
        </w:rPr>
        <w:t>) при проверке статистических</w:t>
      </w:r>
      <w:r>
        <w:rPr>
          <w:sz w:val="28"/>
          <w:lang w:val="ru-RU"/>
        </w:rPr>
        <w:t xml:space="preserve"> гипотез принимали </w:t>
      </w:r>
      <w:proofErr w:type="gramStart"/>
      <w:r>
        <w:rPr>
          <w:sz w:val="28"/>
          <w:lang w:val="ru-RU"/>
        </w:rPr>
        <w:t>равным</w:t>
      </w:r>
      <w:proofErr w:type="gramEnd"/>
      <w:r>
        <w:rPr>
          <w:sz w:val="28"/>
          <w:lang w:val="ru-RU"/>
        </w:rPr>
        <w:t xml:space="preserve"> 0,05.</w:t>
      </w:r>
    </w:p>
    <w:p w:rsidR="00755D7A" w:rsidRDefault="000730D5">
      <w:pPr>
        <w:pStyle w:val="Standard"/>
        <w:spacing w:line="360" w:lineRule="auto"/>
        <w:jc w:val="center"/>
        <w:rPr>
          <w:sz w:val="28"/>
          <w:lang w:val="ru-RU"/>
        </w:rPr>
      </w:pPr>
      <w:r>
        <w:rPr>
          <w:sz w:val="28"/>
          <w:lang w:val="ru-RU"/>
        </w:rPr>
        <w:t>Результаты и обсуждение</w:t>
      </w:r>
    </w:p>
    <w:p w:rsidR="00755D7A" w:rsidRDefault="000730D5">
      <w:pPr>
        <w:pStyle w:val="Standard"/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ab/>
        <w:t xml:space="preserve">При сравнении структуры корреляционных связей между показателями активности исследуемых </w:t>
      </w:r>
      <w:proofErr w:type="spellStart"/>
      <w:r>
        <w:rPr>
          <w:sz w:val="28"/>
          <w:lang w:val="ru-RU"/>
        </w:rPr>
        <w:t>оксидоредуктаз</w:t>
      </w:r>
      <w:proofErr w:type="spellEnd"/>
      <w:r>
        <w:rPr>
          <w:sz w:val="28"/>
          <w:lang w:val="ru-RU"/>
        </w:rPr>
        <w:t xml:space="preserve"> и фенотипом лимфоцитов периферической крови у детей контрольной группы (рис. 1) и у детей с ГГМ </w:t>
      </w:r>
      <w:r>
        <w:rPr>
          <w:sz w:val="28"/>
          <w:lang w:val="ru-RU"/>
        </w:rPr>
        <w:t>(рис. 2) обнаружено увеличение в корреляционной картине количества положительных связей в группе детей с ГГМ.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  <w:t>Результаты проведенного анализа выявили различия в корреляционной картине в сравниваемых группах детей. Так, у детей контрольной группы показател</w:t>
      </w:r>
      <w:r>
        <w:rPr>
          <w:sz w:val="28"/>
          <w:lang w:val="ru-RU"/>
        </w:rPr>
        <w:t xml:space="preserve">и активности НАДЛДГ имели положительную средней силы корреляционную связь с абсолютным числом </w:t>
      </w:r>
      <w:proofErr w:type="gramStart"/>
      <w:r>
        <w:rPr>
          <w:sz w:val="28"/>
          <w:lang w:val="ru-RU"/>
        </w:rPr>
        <w:t>В-</w:t>
      </w:r>
      <w:proofErr w:type="gramEnd"/>
      <w:r>
        <w:rPr>
          <w:sz w:val="28"/>
          <w:lang w:val="ru-RU"/>
        </w:rPr>
        <w:t xml:space="preserve"> лимфоцитов периферической крови (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= 0,67;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0,001).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  <w:t xml:space="preserve">У детей с ГГМ показатели активности НАДЛДГ находились в прямой взаимозависимости с абсолютным числом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8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>- клеток (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= 0,33;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0,05).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  <w:t xml:space="preserve">Уровень активности НАДНМДГ в группе детей с ГГМ был положительно взаимосвязан с процентным содержанием и абсолютным числом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8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>- клеток (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= 0,33;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0,05; 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= 0,32;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0,05 соответственно). У детей контрольной группы показатели</w:t>
      </w:r>
      <w:r>
        <w:rPr>
          <w:sz w:val="28"/>
          <w:lang w:val="ru-RU"/>
        </w:rPr>
        <w:t xml:space="preserve"> активности НАДНМДГ находились в обратной взаимозависимости с процентным содержанием </w:t>
      </w:r>
      <w:proofErr w:type="gramStart"/>
      <w:r>
        <w:rPr>
          <w:sz w:val="28"/>
          <w:lang w:val="ru-RU"/>
        </w:rPr>
        <w:t>В-</w:t>
      </w:r>
      <w:proofErr w:type="gramEnd"/>
      <w:r>
        <w:rPr>
          <w:sz w:val="28"/>
          <w:lang w:val="ru-RU"/>
        </w:rPr>
        <w:t xml:space="preserve"> лимфоцитов периферической крови и абсолютным числом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8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>- клеток (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= - 0,39;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0,05; 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= - 0,43;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0,05 соответственно).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ab/>
        <w:t>Кроме того различия в корреляционной картине,</w:t>
      </w:r>
      <w:r>
        <w:rPr>
          <w:sz w:val="28"/>
          <w:lang w:val="ru-RU"/>
        </w:rPr>
        <w:t xml:space="preserve"> обнаруженные в сравниваемых группах детей, заключались в наличии у детей контрольной группы положительной взаимосвязи с высоким коэффициентом корреляции (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= 0,74;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</w:t>
      </w:r>
      <w:r>
        <w:rPr>
          <w:sz w:val="28"/>
          <w:lang w:val="ru-RU"/>
        </w:rPr>
        <w:t xml:space="preserve"> 0,001) между показателями активности обратной реакции НАДНГДГ и </w:t>
      </w:r>
      <w:r>
        <w:rPr>
          <w:sz w:val="28"/>
          <w:lang w:val="ru-RU"/>
        </w:rPr>
        <w:lastRenderedPageBreak/>
        <w:t xml:space="preserve">абсолютным числом зрелых </w:t>
      </w:r>
      <w:r>
        <w:rPr>
          <w:sz w:val="28"/>
          <w:lang w:val="ru-RU"/>
        </w:rPr>
        <w:t>Т-лимфоцитов (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3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>), в то время как в группе детей с ГГМ отмечалась отрицательная с низким коэффициентом корреляции взаимосвязь активности прямой реакции НАДФГДГ с процентным содержанием зрелых Т- лимфоцитов (</w:t>
      </w:r>
      <w:r>
        <w:rPr>
          <w:sz w:val="28"/>
          <w:lang w:val="en-US"/>
        </w:rPr>
        <w:t>r</w:t>
      </w:r>
      <w:r>
        <w:rPr>
          <w:sz w:val="28"/>
          <w:lang w:val="ru-RU"/>
        </w:rPr>
        <w:t xml:space="preserve">= - 0,32; </w:t>
      </w:r>
      <w:r>
        <w:rPr>
          <w:sz w:val="28"/>
          <w:lang w:val="en-US"/>
        </w:rPr>
        <w:t>p</w:t>
      </w:r>
      <w:r>
        <w:rPr>
          <w:rFonts w:cs="Times New Roman"/>
          <w:sz w:val="28"/>
          <w:lang w:val="ru-RU"/>
        </w:rPr>
        <w:t>&lt; 0,05</w:t>
      </w:r>
      <w:r>
        <w:rPr>
          <w:sz w:val="28"/>
          <w:lang w:val="ru-RU"/>
        </w:rPr>
        <w:t>).</w:t>
      </w:r>
    </w:p>
    <w:p w:rsidR="00755D7A" w:rsidRDefault="000730D5">
      <w:pPr>
        <w:pStyle w:val="Standard"/>
        <w:spacing w:line="360" w:lineRule="auto"/>
        <w:ind w:firstLine="706"/>
        <w:jc w:val="both"/>
        <w:rPr>
          <w:kern w:val="0"/>
          <w:sz w:val="28"/>
          <w:lang w:val="ru-RU"/>
        </w:rPr>
      </w:pPr>
      <w:r>
        <w:rPr>
          <w:kern w:val="0"/>
          <w:sz w:val="28"/>
          <w:lang w:val="ru-RU"/>
        </w:rPr>
        <w:t>Изучение взаимосвязей межд</w:t>
      </w:r>
      <w:r>
        <w:rPr>
          <w:kern w:val="0"/>
          <w:sz w:val="28"/>
          <w:lang w:val="ru-RU"/>
        </w:rPr>
        <w:t xml:space="preserve">у показателями активности НАДНГДГ  и фенотипом лимфоцитов периферической крови выявило </w:t>
      </w:r>
      <w:proofErr w:type="spellStart"/>
      <w:r>
        <w:rPr>
          <w:kern w:val="0"/>
          <w:sz w:val="28"/>
          <w:lang w:val="ru-RU"/>
        </w:rPr>
        <w:t>однонаправленность</w:t>
      </w:r>
      <w:proofErr w:type="spellEnd"/>
      <w:r>
        <w:rPr>
          <w:kern w:val="0"/>
          <w:sz w:val="28"/>
          <w:lang w:val="ru-RU"/>
        </w:rPr>
        <w:t xml:space="preserve"> корреляционных связей в наблюдаемых группах детей (рис. 1, 2). Однако</w:t>
      </w:r>
      <w:proofErr w:type="gramStart"/>
      <w:r>
        <w:rPr>
          <w:kern w:val="0"/>
          <w:sz w:val="28"/>
          <w:lang w:val="ru-RU"/>
        </w:rPr>
        <w:t>,</w:t>
      </w:r>
      <w:proofErr w:type="gramEnd"/>
      <w:r>
        <w:rPr>
          <w:kern w:val="0"/>
          <w:sz w:val="28"/>
          <w:lang w:val="ru-RU"/>
        </w:rPr>
        <w:t xml:space="preserve"> количество и прочность корреляционных связей в контрольной группе оказались выш</w:t>
      </w:r>
      <w:r>
        <w:rPr>
          <w:kern w:val="0"/>
          <w:sz w:val="28"/>
          <w:lang w:val="ru-RU"/>
        </w:rPr>
        <w:t>е, чем в группе детей с ГГМ (рис. 1, 2).</w:t>
      </w:r>
    </w:p>
    <w:p w:rsidR="00755D7A" w:rsidRDefault="000730D5">
      <w:pPr>
        <w:pStyle w:val="Standard"/>
        <w:spacing w:line="360" w:lineRule="auto"/>
        <w:ind w:firstLine="706"/>
        <w:jc w:val="both"/>
        <w:rPr>
          <w:kern w:val="0"/>
          <w:sz w:val="28"/>
          <w:lang w:val="ru-RU"/>
        </w:rPr>
      </w:pPr>
      <w:r>
        <w:rPr>
          <w:kern w:val="0"/>
          <w:sz w:val="28"/>
          <w:lang w:val="ru-RU"/>
        </w:rPr>
        <w:t xml:space="preserve">Оценка корреляционной картины показала, что только у детей контрольной группы показатели активности НАДНЛДГ находились в корреляционной зависимости с фенотипом лимфоцитов крови (рис. 1). В то же время только в </w:t>
      </w:r>
      <w:r>
        <w:rPr>
          <w:kern w:val="0"/>
          <w:sz w:val="28"/>
          <w:lang w:val="ru-RU"/>
        </w:rPr>
        <w:t>группе детей с ГГМ показатели активности мали</w:t>
      </w:r>
      <w:proofErr w:type="gramStart"/>
      <w:r>
        <w:rPr>
          <w:kern w:val="0"/>
          <w:sz w:val="28"/>
          <w:lang w:val="ru-RU"/>
        </w:rPr>
        <w:t>к-</w:t>
      </w:r>
      <w:proofErr w:type="gramEnd"/>
      <w:r>
        <w:rPr>
          <w:kern w:val="0"/>
          <w:sz w:val="28"/>
          <w:lang w:val="ru-RU"/>
        </w:rPr>
        <w:t xml:space="preserve"> фермента (НАДФМДГ) коррелировали с фенотипом лимфоцитов периферической крови (рис. 2). </w:t>
      </w:r>
    </w:p>
    <w:p w:rsidR="00755D7A" w:rsidRDefault="000730D5">
      <w:pPr>
        <w:pStyle w:val="Standard"/>
        <w:spacing w:line="360" w:lineRule="auto"/>
        <w:ind w:firstLine="706"/>
        <w:jc w:val="both"/>
        <w:rPr>
          <w:kern w:val="0"/>
          <w:sz w:val="28"/>
          <w:lang w:val="ru-RU"/>
        </w:rPr>
      </w:pPr>
      <w:r>
        <w:rPr>
          <w:kern w:val="0"/>
          <w:sz w:val="28"/>
          <w:lang w:val="ru-RU"/>
        </w:rPr>
        <w:t xml:space="preserve">Следует отметить появление в группе детей с ГГМ корреляционных связей между показателями активности </w:t>
      </w:r>
      <w:proofErr w:type="spellStart"/>
      <w:r>
        <w:rPr>
          <w:kern w:val="0"/>
          <w:sz w:val="28"/>
          <w:lang w:val="ru-RU"/>
        </w:rPr>
        <w:t>глутатионредуктазы</w:t>
      </w:r>
      <w:proofErr w:type="spellEnd"/>
      <w:r>
        <w:rPr>
          <w:kern w:val="0"/>
          <w:sz w:val="28"/>
          <w:lang w:val="ru-RU"/>
        </w:rPr>
        <w:t xml:space="preserve"> и</w:t>
      </w:r>
      <w:r>
        <w:rPr>
          <w:kern w:val="0"/>
          <w:sz w:val="28"/>
          <w:lang w:val="ru-RU"/>
        </w:rPr>
        <w:t xml:space="preserve"> фенотипом лимфоцитов крови, отсутствующие у детей контрольной группы (рис. 1, 2).</w:t>
      </w:r>
    </w:p>
    <w:p w:rsidR="00755D7A" w:rsidRDefault="000730D5">
      <w:pPr>
        <w:pStyle w:val="Standard"/>
        <w:spacing w:line="360" w:lineRule="auto"/>
        <w:ind w:firstLine="706"/>
        <w:jc w:val="both"/>
        <w:rPr>
          <w:kern w:val="0"/>
          <w:sz w:val="28"/>
          <w:lang w:val="ru-RU"/>
        </w:rPr>
      </w:pPr>
      <w:r>
        <w:rPr>
          <w:kern w:val="0"/>
          <w:sz w:val="28"/>
          <w:lang w:val="ru-RU"/>
        </w:rPr>
        <w:t>С помощью корреляционного анализа мы попытались охарактеризовать взаимоотношения фенотипа и ферментного статуса лимфоцитов периферической крови у детей раннего возраста с ГГ</w:t>
      </w:r>
      <w:r>
        <w:rPr>
          <w:kern w:val="0"/>
          <w:sz w:val="28"/>
          <w:lang w:val="ru-RU"/>
        </w:rPr>
        <w:t>М.</w:t>
      </w:r>
    </w:p>
    <w:p w:rsidR="00755D7A" w:rsidRDefault="000730D5">
      <w:pPr>
        <w:pStyle w:val="Standard"/>
        <w:spacing w:line="360" w:lineRule="auto"/>
        <w:ind w:firstLine="706"/>
        <w:jc w:val="both"/>
        <w:rPr>
          <w:kern w:val="0"/>
          <w:sz w:val="28"/>
          <w:lang w:val="ru-RU"/>
        </w:rPr>
      </w:pPr>
      <w:r>
        <w:rPr>
          <w:kern w:val="0"/>
          <w:sz w:val="28"/>
          <w:lang w:val="ru-RU"/>
        </w:rPr>
        <w:t>Результаты проведенного анализа установили преобладание в корреляционной картине в группе детей с ГГМ положительных связей между изучаемыми показателями. При этом известно, что число корреляционных связей возрастает с усилением функциональной нагрузки н</w:t>
      </w:r>
      <w:r>
        <w:rPr>
          <w:kern w:val="0"/>
          <w:sz w:val="28"/>
          <w:lang w:val="ru-RU"/>
        </w:rPr>
        <w:t>а биологическую систему [8]. В то же время, следует отметить невысокие коэффициенты корреляции выявленных взаимосвязей в группе детей с ГГМ, что отражает недостаточную прочность установленных корреляционных связей.</w:t>
      </w:r>
    </w:p>
    <w:p w:rsidR="00755D7A" w:rsidRDefault="000730D5">
      <w:pPr>
        <w:pStyle w:val="Standard"/>
        <w:spacing w:line="360" w:lineRule="auto"/>
        <w:ind w:firstLine="706"/>
        <w:jc w:val="both"/>
      </w:pPr>
      <w:r>
        <w:rPr>
          <w:kern w:val="0"/>
          <w:sz w:val="28"/>
          <w:lang w:val="ru-RU"/>
        </w:rPr>
        <w:t xml:space="preserve">При оценке полученных данных обнаружено, </w:t>
      </w:r>
      <w:r>
        <w:rPr>
          <w:kern w:val="0"/>
          <w:sz w:val="28"/>
          <w:lang w:val="ru-RU"/>
        </w:rPr>
        <w:t xml:space="preserve">что в группе детей с ГГМ </w:t>
      </w:r>
      <w:proofErr w:type="spellStart"/>
      <w:r>
        <w:rPr>
          <w:kern w:val="0"/>
          <w:sz w:val="28"/>
          <w:lang w:val="ru-RU"/>
        </w:rPr>
        <w:t>глутатионредуктаза</w:t>
      </w:r>
      <w:proofErr w:type="spellEnd"/>
      <w:r>
        <w:rPr>
          <w:kern w:val="0"/>
          <w:sz w:val="28"/>
          <w:lang w:val="ru-RU"/>
        </w:rPr>
        <w:t xml:space="preserve"> является метаболическим ферментом, имеющим </w:t>
      </w:r>
      <w:r>
        <w:rPr>
          <w:kern w:val="0"/>
          <w:sz w:val="28"/>
          <w:lang w:val="ru-RU"/>
        </w:rPr>
        <w:lastRenderedPageBreak/>
        <w:t>наибольшее количество взаимосвязей с показателями, характеризующими фенотип лимфоцитов периферической крови. Можно предположить, что появление данных взаимосвязей опреде</w:t>
      </w:r>
      <w:r>
        <w:rPr>
          <w:kern w:val="0"/>
          <w:sz w:val="28"/>
          <w:lang w:val="ru-RU"/>
        </w:rPr>
        <w:t xml:space="preserve">ляется ролью фермента в реакциях внутриклеточного метаболизма. Так, известна роль </w:t>
      </w:r>
      <w:proofErr w:type="spellStart"/>
      <w:r>
        <w:rPr>
          <w:kern w:val="0"/>
          <w:sz w:val="28"/>
          <w:lang w:val="ru-RU"/>
        </w:rPr>
        <w:t>глутатионредуктазы</w:t>
      </w:r>
      <w:proofErr w:type="spellEnd"/>
      <w:r>
        <w:rPr>
          <w:kern w:val="0"/>
          <w:sz w:val="28"/>
          <w:lang w:val="ru-RU"/>
        </w:rPr>
        <w:t xml:space="preserve"> в процессах пролиферации Т-лимфоцитов [11, 12], что, вероятно, и характеризуется корреляционными связями </w:t>
      </w:r>
      <w:proofErr w:type="gramStart"/>
      <w:r>
        <w:rPr>
          <w:kern w:val="0"/>
          <w:sz w:val="28"/>
          <w:lang w:val="ru-RU"/>
        </w:rPr>
        <w:t>данного</w:t>
      </w:r>
      <w:proofErr w:type="gramEnd"/>
      <w:r>
        <w:rPr>
          <w:kern w:val="0"/>
          <w:sz w:val="28"/>
          <w:lang w:val="ru-RU"/>
        </w:rPr>
        <w:t xml:space="preserve"> энзима с количество зрелых Т-лимфоцитов (</w:t>
      </w:r>
      <w:r>
        <w:rPr>
          <w:sz w:val="28"/>
          <w:lang w:val="en-US"/>
        </w:rPr>
        <w:t>C</w:t>
      </w:r>
      <w:r>
        <w:rPr>
          <w:sz w:val="28"/>
          <w:lang w:val="en-US"/>
        </w:rPr>
        <w:t>D</w:t>
      </w:r>
      <w:r>
        <w:rPr>
          <w:sz w:val="28"/>
          <w:vertAlign w:val="subscript"/>
          <w:lang w:val="ru-RU"/>
        </w:rPr>
        <w:t>3</w:t>
      </w:r>
      <w:r>
        <w:rPr>
          <w:sz w:val="28"/>
          <w:vertAlign w:val="superscript"/>
          <w:lang w:val="ru-RU"/>
        </w:rPr>
        <w:t>+</w:t>
      </w:r>
      <w:r>
        <w:rPr>
          <w:kern w:val="0"/>
          <w:sz w:val="28"/>
          <w:lang w:val="ru-RU"/>
        </w:rPr>
        <w:t xml:space="preserve">), 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4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 xml:space="preserve">- и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8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>- клеток.</w:t>
      </w:r>
    </w:p>
    <w:p w:rsidR="00755D7A" w:rsidRDefault="000730D5">
      <w:pPr>
        <w:pStyle w:val="Standard"/>
        <w:spacing w:line="360" w:lineRule="auto"/>
        <w:ind w:firstLine="706"/>
        <w:jc w:val="both"/>
      </w:pPr>
      <w:r>
        <w:rPr>
          <w:sz w:val="28"/>
          <w:lang w:val="ru-RU"/>
        </w:rPr>
        <w:t xml:space="preserve">По данным корреляционного анализа наибольшее количество связей с показателями активности исследуемых внутриклеточных ферментов обнаружено у лимфоцитов с фенотипом </w:t>
      </w:r>
      <w:r>
        <w:rPr>
          <w:sz w:val="28"/>
          <w:lang w:val="en-US"/>
        </w:rPr>
        <w:t>CD</w:t>
      </w:r>
      <w:r>
        <w:rPr>
          <w:sz w:val="28"/>
          <w:vertAlign w:val="subscript"/>
          <w:lang w:val="ru-RU"/>
        </w:rPr>
        <w:t>8</w:t>
      </w:r>
      <w:r>
        <w:rPr>
          <w:sz w:val="28"/>
          <w:vertAlign w:val="superscript"/>
          <w:lang w:val="ru-RU"/>
        </w:rPr>
        <w:t>+</w:t>
      </w:r>
      <w:r>
        <w:rPr>
          <w:sz w:val="28"/>
          <w:lang w:val="ru-RU"/>
        </w:rPr>
        <w:t>, обладающих цитотоксическим потенциалом по отношению к инфи</w:t>
      </w:r>
      <w:r>
        <w:rPr>
          <w:sz w:val="28"/>
          <w:lang w:val="ru-RU"/>
        </w:rPr>
        <w:t xml:space="preserve">цированным вирусами клеткам и играющих ведущую роль в специфической защите организма </w:t>
      </w:r>
      <w:proofErr w:type="gramStart"/>
      <w:r>
        <w:rPr>
          <w:sz w:val="28"/>
          <w:lang w:val="ru-RU"/>
        </w:rPr>
        <w:t>от</w:t>
      </w:r>
      <w:proofErr w:type="gramEnd"/>
      <w:r>
        <w:rPr>
          <w:sz w:val="28"/>
          <w:lang w:val="ru-RU"/>
        </w:rPr>
        <w:t xml:space="preserve"> внутриклеточных патогенов.</w:t>
      </w:r>
    </w:p>
    <w:p w:rsidR="00755D7A" w:rsidRDefault="000730D5">
      <w:pPr>
        <w:pStyle w:val="Standard"/>
        <w:spacing w:line="360" w:lineRule="auto"/>
        <w:ind w:firstLine="706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Таким образом, у детей раннего возраста с гипертрофией глоточной миндалины в лимфоцитах периферической крови выявлены взаимосвязи </w:t>
      </w:r>
      <w:proofErr w:type="spellStart"/>
      <w:r>
        <w:rPr>
          <w:sz w:val="28"/>
          <w:lang w:val="ru-RU"/>
        </w:rPr>
        <w:t>иммунофенот</w:t>
      </w:r>
      <w:r>
        <w:rPr>
          <w:sz w:val="28"/>
          <w:lang w:val="ru-RU"/>
        </w:rPr>
        <w:t>ипа</w:t>
      </w:r>
      <w:proofErr w:type="spellEnd"/>
      <w:r>
        <w:rPr>
          <w:sz w:val="28"/>
          <w:lang w:val="ru-RU"/>
        </w:rPr>
        <w:t xml:space="preserve"> с показателями активности НА</w:t>
      </w:r>
      <w:proofErr w:type="gramStart"/>
      <w:r>
        <w:rPr>
          <w:sz w:val="28"/>
          <w:lang w:val="ru-RU"/>
        </w:rPr>
        <w:t>Д(</w:t>
      </w:r>
      <w:proofErr w:type="gramEnd"/>
      <w:r>
        <w:rPr>
          <w:sz w:val="28"/>
          <w:lang w:val="ru-RU"/>
        </w:rPr>
        <w:t xml:space="preserve">Ф)-  зависимых </w:t>
      </w:r>
      <w:proofErr w:type="spellStart"/>
      <w:r>
        <w:rPr>
          <w:sz w:val="28"/>
          <w:lang w:val="ru-RU"/>
        </w:rPr>
        <w:t>дегидрогеназ</w:t>
      </w:r>
      <w:proofErr w:type="spellEnd"/>
      <w:r>
        <w:rPr>
          <w:sz w:val="28"/>
          <w:lang w:val="ru-RU"/>
        </w:rPr>
        <w:t>.</w:t>
      </w:r>
    </w:p>
    <w:p w:rsidR="00755D7A" w:rsidRDefault="000730D5">
      <w:pPr>
        <w:pStyle w:val="Standard"/>
        <w:spacing w:line="360" w:lineRule="auto"/>
        <w:ind w:firstLine="706"/>
        <w:jc w:val="center"/>
        <w:rPr>
          <w:kern w:val="0"/>
          <w:sz w:val="28"/>
          <w:lang w:val="ru-RU"/>
        </w:rPr>
      </w:pPr>
      <w:r>
        <w:rPr>
          <w:kern w:val="0"/>
          <w:sz w:val="28"/>
          <w:lang w:val="ru-RU"/>
        </w:rPr>
        <w:t xml:space="preserve">Заключение </w:t>
      </w:r>
    </w:p>
    <w:p w:rsidR="00755D7A" w:rsidRDefault="000730D5">
      <w:pPr>
        <w:pStyle w:val="Standard"/>
        <w:spacing w:line="360" w:lineRule="auto"/>
        <w:jc w:val="both"/>
        <w:rPr>
          <w:kern w:val="0"/>
          <w:sz w:val="28"/>
          <w:lang w:val="ru-RU"/>
        </w:rPr>
      </w:pPr>
      <w:r>
        <w:rPr>
          <w:kern w:val="0"/>
          <w:sz w:val="28"/>
          <w:lang w:val="ru-RU"/>
        </w:rPr>
        <w:tab/>
        <w:t>Результаты проведенного исследования установили особенности взаимоотношений между фенотипом и показателями активности НА</w:t>
      </w:r>
      <w:proofErr w:type="gramStart"/>
      <w:r>
        <w:rPr>
          <w:kern w:val="0"/>
          <w:sz w:val="28"/>
          <w:lang w:val="ru-RU"/>
        </w:rPr>
        <w:t>Д(</w:t>
      </w:r>
      <w:proofErr w:type="gramEnd"/>
      <w:r>
        <w:rPr>
          <w:kern w:val="0"/>
          <w:sz w:val="28"/>
          <w:lang w:val="ru-RU"/>
        </w:rPr>
        <w:t xml:space="preserve">Ф)- зависимых </w:t>
      </w:r>
      <w:proofErr w:type="spellStart"/>
      <w:r>
        <w:rPr>
          <w:kern w:val="0"/>
          <w:sz w:val="28"/>
          <w:lang w:val="ru-RU"/>
        </w:rPr>
        <w:t>дегидрогеназ</w:t>
      </w:r>
      <w:proofErr w:type="spellEnd"/>
      <w:r>
        <w:rPr>
          <w:kern w:val="0"/>
          <w:sz w:val="28"/>
          <w:lang w:val="ru-RU"/>
        </w:rPr>
        <w:t xml:space="preserve"> лимфоцитов периферической крови</w:t>
      </w:r>
      <w:r>
        <w:rPr>
          <w:kern w:val="0"/>
          <w:sz w:val="28"/>
          <w:lang w:val="ru-RU"/>
        </w:rPr>
        <w:t xml:space="preserve"> у детей раннего возраста с гипертрофией глоточной миндалины, определяемые количеством, направленностью и силой корреляционных связей. </w:t>
      </w:r>
    </w:p>
    <w:p w:rsidR="00755D7A" w:rsidRDefault="000730D5">
      <w:pPr>
        <w:pStyle w:val="Standard"/>
        <w:spacing w:line="360" w:lineRule="auto"/>
        <w:jc w:val="both"/>
        <w:rPr>
          <w:kern w:val="0"/>
          <w:sz w:val="28"/>
          <w:lang w:val="ru-RU"/>
        </w:rPr>
      </w:pPr>
      <w:r>
        <w:rPr>
          <w:kern w:val="0"/>
          <w:sz w:val="28"/>
          <w:lang w:val="ru-RU"/>
        </w:rPr>
        <w:tab/>
      </w:r>
      <w:proofErr w:type="gramStart"/>
      <w:r>
        <w:rPr>
          <w:kern w:val="0"/>
          <w:sz w:val="28"/>
          <w:lang w:val="ru-RU"/>
        </w:rPr>
        <w:t>Следует отметить, что полученные нами данные свидетельствуют о необходимости дальнейшего изучения метаболических механи</w:t>
      </w:r>
      <w:r>
        <w:rPr>
          <w:kern w:val="0"/>
          <w:sz w:val="28"/>
          <w:lang w:val="ru-RU"/>
        </w:rPr>
        <w:t xml:space="preserve">змов, лежащих в основе функциональной активности клетки, в разных </w:t>
      </w:r>
      <w:proofErr w:type="spellStart"/>
      <w:r>
        <w:rPr>
          <w:kern w:val="0"/>
          <w:sz w:val="28"/>
          <w:lang w:val="ru-RU"/>
        </w:rPr>
        <w:t>субпопуляциях</w:t>
      </w:r>
      <w:proofErr w:type="spellEnd"/>
      <w:r>
        <w:rPr>
          <w:kern w:val="0"/>
          <w:sz w:val="28"/>
          <w:lang w:val="ru-RU"/>
        </w:rPr>
        <w:t xml:space="preserve"> лимфоидных клеток и определить какое клиническое значение имеют их изменения у детей с гипертрофией глоточной миндалины. </w:t>
      </w:r>
      <w:proofErr w:type="gramEnd"/>
    </w:p>
    <w:p w:rsidR="00755D7A" w:rsidRDefault="000730D5">
      <w:pPr>
        <w:pStyle w:val="Standard"/>
        <w:spacing w:line="360" w:lineRule="auto"/>
        <w:ind w:firstLine="706"/>
        <w:jc w:val="both"/>
      </w:pPr>
      <w:r>
        <w:rPr>
          <w:kern w:val="0"/>
          <w:sz w:val="28"/>
          <w:lang w:val="ru-RU"/>
        </w:rPr>
        <w:t xml:space="preserve">   </w:t>
      </w:r>
    </w:p>
    <w:p w:rsidR="00755D7A" w:rsidRDefault="000730D5">
      <w:pPr>
        <w:pStyle w:val="Standard"/>
        <w:spacing w:line="360" w:lineRule="auto"/>
        <w:jc w:val="both"/>
      </w:pPr>
      <w:r>
        <w:rPr>
          <w:sz w:val="28"/>
          <w:lang w:val="ru-RU"/>
        </w:rPr>
        <w:t xml:space="preserve"> </w:t>
      </w:r>
    </w:p>
    <w:sectPr w:rsidR="00755D7A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30D5">
      <w:r>
        <w:separator/>
      </w:r>
    </w:p>
  </w:endnote>
  <w:endnote w:type="continuationSeparator" w:id="0">
    <w:p w:rsidR="00000000" w:rsidRDefault="0007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54E" w:rsidRDefault="000730D5">
    <w:pPr>
      <w:pStyle w:val="ab"/>
      <w:jc w:val="center"/>
    </w:pPr>
    <w:r>
      <w:rPr>
        <w:lang w:val="ru-RU"/>
      </w:rPr>
      <w:fldChar w:fldCharType="begin"/>
    </w:r>
    <w:r>
      <w:rPr>
        <w:lang w:val="ru-RU"/>
      </w:rPr>
      <w:instrText xml:space="preserve"> PAGE </w:instrText>
    </w:r>
    <w:r>
      <w:rPr>
        <w:lang w:val="ru-RU"/>
      </w:rPr>
      <w:fldChar w:fldCharType="separate"/>
    </w:r>
    <w:r>
      <w:rPr>
        <w:noProof/>
        <w:lang w:val="ru-RU"/>
      </w:rPr>
      <w:t>1</w:t>
    </w:r>
    <w:r>
      <w:rPr>
        <w:lang w:val="ru-RU"/>
      </w:rPr>
      <w:fldChar w:fldCharType="end"/>
    </w:r>
  </w:p>
  <w:p w:rsidR="0032754E" w:rsidRDefault="000730D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30D5">
      <w:r>
        <w:rPr>
          <w:color w:val="000000"/>
        </w:rPr>
        <w:separator/>
      </w:r>
    </w:p>
  </w:footnote>
  <w:footnote w:type="continuationSeparator" w:id="0">
    <w:p w:rsidR="00000000" w:rsidRDefault="00073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54E" w:rsidRDefault="000730D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5D7A"/>
    <w:rsid w:val="000730D5"/>
    <w:rsid w:val="0075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line number"/>
    <w:basedOn w:val="a0"/>
  </w:style>
  <w:style w:type="paragraph" w:styleId="a6">
    <w:name w:val="Revision"/>
    <w:pPr>
      <w:widowControl/>
      <w:textAlignment w:val="auto"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line number"/>
    <w:basedOn w:val="a0"/>
  </w:style>
  <w:style w:type="paragraph" w:styleId="a6">
    <w:name w:val="Revision"/>
    <w:pPr>
      <w:widowControl/>
      <w:textAlignment w:val="auto"/>
    </w:pPr>
  </w:style>
  <w:style w:type="paragraph" w:styleId="a7">
    <w:name w:val="Balloon Text"/>
    <w:basedOn w:val="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/>
      <w:sz w:val="16"/>
      <w:szCs w:val="16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2019-09-24T06:48:00Z</dcterms:created>
  <dcterms:modified xsi:type="dcterms:W3CDTF">2019-09-24T06:48:00Z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