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61" w:rsidRDefault="00DC3065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Литература</w:t>
      </w:r>
    </w:p>
    <w:tbl>
      <w:tblPr>
        <w:tblW w:w="96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3210"/>
        <w:gridCol w:w="2595"/>
        <w:gridCol w:w="2122"/>
      </w:tblGrid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Порядковый номер</w:t>
            </w:r>
          </w:p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ссылки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ФИО, название публикации и источника на английском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</w:pPr>
            <w:r>
              <w:rPr>
                <w:sz w:val="28"/>
                <w:szCs w:val="28"/>
                <w:lang w:val="ru-RU"/>
              </w:rPr>
              <w:t xml:space="preserve">Полный </w:t>
            </w:r>
            <w:r>
              <w:rPr>
                <w:sz w:val="28"/>
                <w:szCs w:val="28"/>
                <w:lang w:val="ru-RU"/>
              </w:rPr>
              <w:t>интернет-адрес (</w:t>
            </w:r>
            <w:r>
              <w:rPr>
                <w:sz w:val="28"/>
                <w:szCs w:val="28"/>
                <w:lang w:val="en-US"/>
              </w:rPr>
              <w:t>URL</w:t>
            </w:r>
            <w:r>
              <w:rPr>
                <w:sz w:val="28"/>
                <w:szCs w:val="28"/>
                <w:lang w:val="ru-RU"/>
              </w:rPr>
              <w:t>) цитируемой статьи</w:t>
            </w:r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Борисенко Г.Н., Носуля Е.В., Никулин И.В. Клинико- эпидемиологические аспекты заболеваний верхних дыхательных путей у детей с рецидивирующей респираторной инфекцией // Российская ринология, 2014.Т.22, №4. –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С.38-42.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Borisenko G.N., Nosulya E.V., Nikulin I.V. Upper respiratory tract diseases in children with recurrent respiratory infection: Clinical and epidemiological aspects.Russian Rhinology,2014, Vol. 22, no.4,pp.38-42.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</w:pPr>
            <w:hyperlink r:id="rId7" w:history="1">
              <w:r>
                <w:rPr>
                  <w:rStyle w:val="a5"/>
                  <w:sz w:val="28"/>
                  <w:szCs w:val="28"/>
                  <w:lang w:val="en-US"/>
                </w:rPr>
                <w:t>https://elibrary.ru/item.asp?id=22934200</w:t>
              </w:r>
            </w:hyperlink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2.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Куртасова Л.М., Шмидт А.Р., Лубнина Т.В. Активность НАД(Ф)- зависимых дегидрогеназ в лимфоцитах периферической крови у детей раннего возраста с гипертрофией глоточной миндалины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//Медицинская иммунология, 2014.</w:t>
            </w:r>
          </w:p>
          <w:p w:rsidR="00351561" w:rsidRDefault="00DC3065">
            <w:pPr>
              <w:pStyle w:val="Standard"/>
              <w:spacing w:line="360" w:lineRule="auto"/>
              <w:jc w:val="center"/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lastRenderedPageBreak/>
              <w:t>T.16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, №4. С.381-384</w:t>
            </w:r>
          </w:p>
          <w:p w:rsidR="00351561" w:rsidRDefault="00351561">
            <w:pPr>
              <w:pStyle w:val="Standard"/>
              <w:spacing w:line="360" w:lineRule="auto"/>
              <w:rPr>
                <w:lang w:val="en-US"/>
              </w:rPr>
            </w:pP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</w:pPr>
            <w:hyperlink r:id="rId8" w:tooltip="Список публикаций этого автора" w:history="1">
              <w:r>
                <w:rPr>
                  <w:rFonts w:cs="Times New Roman"/>
                  <w:color w:val="000000"/>
                  <w:sz w:val="28"/>
                  <w:szCs w:val="28"/>
                  <w:shd w:val="clear" w:color="auto" w:fill="F5F5F5"/>
                </w:rPr>
                <w:t>Kurtasova L.M.</w:t>
              </w:r>
            </w:hyperlink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, Shmidt A.R., Lubnina T.V. 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NAD(P)-dependent dehydrogenase activity in peripheral 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blood lymphocytes of infants with enlargement of pharyngeal tonsils. </w:t>
            </w:r>
            <w:r>
              <w:rPr>
                <w:rFonts w:cs="Times New Roman"/>
                <w:iCs/>
                <w:color w:val="000000"/>
                <w:sz w:val="28"/>
                <w:szCs w:val="28"/>
                <w:shd w:val="clear" w:color="auto" w:fill="FFFFFF"/>
              </w:rPr>
              <w:t>Medical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Immunology (Russia)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. 2014;Vol. 16, no 4, pp. 381-384. 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https://doi.org/10.15789/1563-0625-2014-4-381-384</w:t>
            </w:r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3.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Куртасова Л.М., Шакина Н.А., Лубнина Т.В., Николаева А.И. Иммунологиче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ские показатели и энзиматическая активность лимфоцитов периферической крови у детей с гипертрофией глоточной миндалины //Вестник оториноларингологии, 2017. Т.82, №2. С. 42-45. 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</w:pPr>
            <w:hyperlink r:id="rId9" w:tooltip="Список публикаций этого автора" w:history="1">
              <w:r>
                <w:rPr>
                  <w:rFonts w:cs="Times New Roman"/>
                  <w:color w:val="000000"/>
                  <w:sz w:val="28"/>
                  <w:szCs w:val="28"/>
                  <w:shd w:val="clear" w:color="auto" w:fill="F5F5F5"/>
                </w:rPr>
                <w:t>Kurtasova L.M.</w:t>
              </w:r>
            </w:hyperlink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, </w:t>
            </w:r>
            <w:hyperlink r:id="rId10" w:tooltip="Список публикаций этого автора" w:history="1">
              <w:r>
                <w:rPr>
                  <w:rFonts w:cs="Times New Roman"/>
                  <w:color w:val="000000"/>
                  <w:sz w:val="28"/>
                  <w:szCs w:val="28"/>
                  <w:shd w:val="clear" w:color="auto" w:fill="F5F5F5"/>
                </w:rPr>
                <w:t>Shakina N.A.</w:t>
              </w:r>
            </w:hyperlink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, Lubnina T.V., </w:t>
            </w:r>
            <w:hyperlink r:id="rId11" w:tooltip="Список публикаций этого автора" w:history="1">
              <w:r>
                <w:rPr>
                  <w:rFonts w:cs="Times New Roman"/>
                  <w:color w:val="000000"/>
                  <w:sz w:val="28"/>
                  <w:szCs w:val="28"/>
                  <w:shd w:val="clear" w:color="auto" w:fill="F5F5F5"/>
                </w:rPr>
                <w:t>Nikolaeva A.I.</w:t>
              </w:r>
            </w:hyperlink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  The immunological characteristics and enzymatic activity of lymphocytes from the peripheral blood of the children presenting with pharyn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>geal tonsillar hypertrophy// .Vestnik otorinolaringologii, 2017; Vol.82, no2, pp.42-45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https://www.mediasphera.ru/issues/vestnik-otorinolaringologii/2017/2/1004246682017021042</w:t>
            </w:r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</w:pPr>
            <w:r>
              <w:rPr>
                <w:sz w:val="28"/>
                <w:szCs w:val="28"/>
                <w:lang w:val="ru-RU"/>
              </w:rPr>
              <w:t xml:space="preserve">Левина А.С., Бабаченко И.В., Вожик А.А., Кветная А.С. Персистирующие </w:t>
            </w:r>
            <w:r>
              <w:rPr>
                <w:sz w:val="28"/>
                <w:szCs w:val="28"/>
                <w:lang w:val="ru-RU"/>
              </w:rPr>
              <w:t xml:space="preserve">инфекции у детей с хроническими заболеваниями Лор- органов: возможности этиотропной терапии </w:t>
            </w:r>
            <w:r>
              <w:rPr>
                <w:sz w:val="28"/>
                <w:szCs w:val="28"/>
                <w:lang w:val="ru-RU"/>
              </w:rPr>
              <w:lastRenderedPageBreak/>
              <w:t>//Вестник оториноларингологии, 2015, Т.5, С. 46-50.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widowControl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lastRenderedPageBreak/>
              <w:t>Levina A.S., Babachenko I.V., Vozhik A.A., Kvetnaya A.S.</w:t>
            </w:r>
          </w:p>
          <w:p w:rsidR="00351561" w:rsidRDefault="00DC3065">
            <w:pPr>
              <w:pStyle w:val="Standard"/>
              <w:widowControl/>
              <w:spacing w:line="360" w:lineRule="auto"/>
              <w:jc w:val="center"/>
            </w:pPr>
            <w:r>
              <w:rPr>
                <w:rStyle w:val="normaltextrun"/>
                <w:color w:val="000000"/>
                <w:sz w:val="28"/>
                <w:szCs w:val="28"/>
              </w:rPr>
              <w:t>Persistent </w:t>
            </w:r>
            <w:r>
              <w:rPr>
                <w:rStyle w:val="spellingerror"/>
                <w:color w:val="000000"/>
                <w:sz w:val="28"/>
                <w:szCs w:val="28"/>
              </w:rPr>
              <w:t>infections</w:t>
            </w:r>
            <w:r>
              <w:rPr>
                <w:rStyle w:val="normaltextrun"/>
                <w:color w:val="000000"/>
                <w:sz w:val="28"/>
                <w:szCs w:val="28"/>
              </w:rPr>
              <w:t> in </w:t>
            </w:r>
            <w:r>
              <w:rPr>
                <w:rStyle w:val="spellingerror"/>
                <w:color w:val="000000"/>
                <w:sz w:val="28"/>
                <w:szCs w:val="28"/>
              </w:rPr>
              <w:t>the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children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suffering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from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ch</w:t>
            </w:r>
            <w:r>
              <w:rPr>
                <w:rStyle w:val="spellingerror"/>
                <w:color w:val="000000"/>
                <w:sz w:val="28"/>
                <w:szCs w:val="28"/>
              </w:rPr>
              <w:t>ronic</w:t>
            </w:r>
            <w:r>
              <w:rPr>
                <w:rStyle w:val="normaltextrun"/>
                <w:color w:val="000000"/>
                <w:sz w:val="28"/>
                <w:szCs w:val="28"/>
              </w:rPr>
              <w:t> ENT </w:t>
            </w:r>
            <w:r>
              <w:rPr>
                <w:rStyle w:val="spellingerror"/>
                <w:color w:val="000000"/>
                <w:sz w:val="28"/>
                <w:szCs w:val="28"/>
              </w:rPr>
              <w:t>Diseases</w:t>
            </w:r>
            <w:r>
              <w:rPr>
                <w:rStyle w:val="normaltextrun"/>
                <w:color w:val="000000"/>
                <w:sz w:val="28"/>
                <w:szCs w:val="28"/>
              </w:rPr>
              <w:t> and </w:t>
            </w:r>
            <w:r>
              <w:rPr>
                <w:rStyle w:val="spellingerror"/>
                <w:color w:val="000000"/>
                <w:sz w:val="28"/>
                <w:szCs w:val="28"/>
              </w:rPr>
              <w:t>the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possibilities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for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their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with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lastRenderedPageBreak/>
              <w:t>etiotropic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</w:rPr>
              <w:t>therapy</w:t>
            </w:r>
            <w:r>
              <w:rPr>
                <w:color w:val="000000"/>
                <w:sz w:val="28"/>
                <w:szCs w:val="28"/>
              </w:rPr>
              <w:t xml:space="preserve">// 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5F5F5"/>
              </w:rPr>
              <w:t xml:space="preserve">Vestnik otorinolaringologii, </w:t>
            </w:r>
          </w:p>
          <w:p w:rsidR="00351561" w:rsidRDefault="00DC3065">
            <w:pPr>
              <w:pStyle w:val="Standard"/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2015, Vol.15, pp.46-50.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https://www.mediasphera.ru/issues/vestnik-otorinolaringologii/2015/5/030042-466820150510</w:t>
            </w:r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Очилов Р.Т. Современные данные о</w:t>
            </w:r>
            <w:r>
              <w:rPr>
                <w:sz w:val="28"/>
                <w:szCs w:val="28"/>
                <w:lang w:val="ru-RU"/>
              </w:rPr>
              <w:t xml:space="preserve"> проблеме лимфоэпителиального глоточного кольца //Российская оториноларингология, 2014. №1. С.169-171.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Ochilov R.T. New data on the problem lymphepithelial pharyngeal ring. Russian otorhinolaryngology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2014, no.1, pp.169-171.</w:t>
            </w:r>
          </w:p>
          <w:p w:rsidR="00351561" w:rsidRDefault="00351561">
            <w:pPr>
              <w:pStyle w:val="Standard"/>
              <w:widowControl/>
              <w:spacing w:line="360" w:lineRule="auto"/>
              <w:jc w:val="center"/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https://elibrary.ru/item.asp?i</w:t>
            </w:r>
            <w:r>
              <w:rPr>
                <w:sz w:val="28"/>
                <w:szCs w:val="28"/>
              </w:rPr>
              <w:t>d=21338615</w:t>
            </w:r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</w:pPr>
            <w:r>
              <w:rPr>
                <w:sz w:val="28"/>
                <w:szCs w:val="28"/>
                <w:lang w:val="ru-RU"/>
              </w:rPr>
              <w:t xml:space="preserve">Порядин Г.В., Самаси Ж.М., Казимирский А.Н., Макаров А.И., Бозиева Т.И. Изучение влияния медиаторов тканевого происхождения на экспрессию поверхностных антигенов лимфоцитов человека </w:t>
            </w:r>
            <w:r>
              <w:rPr>
                <w:sz w:val="28"/>
                <w:szCs w:val="28"/>
                <w:lang w:val="en-US"/>
              </w:rPr>
              <w:t>in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vitro</w:t>
            </w:r>
            <w:r>
              <w:rPr>
                <w:sz w:val="28"/>
                <w:szCs w:val="28"/>
                <w:lang w:val="ru-RU"/>
              </w:rPr>
              <w:t xml:space="preserve">. Бюллетень экспериментальной биологии и медицины, </w:t>
            </w:r>
            <w:r>
              <w:rPr>
                <w:sz w:val="28"/>
                <w:szCs w:val="28"/>
                <w:lang w:val="ru-RU"/>
              </w:rPr>
              <w:t xml:space="preserve">1995.№ 2. С.196-199. 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Pr="00DC3065" w:rsidRDefault="00DC3065">
            <w:pPr>
              <w:pStyle w:val="paragraph"/>
              <w:spacing w:before="0" w:after="0" w:line="360" w:lineRule="auto"/>
              <w:jc w:val="center"/>
              <w:textAlignment w:val="baseline"/>
              <w:rPr>
                <w:lang w:val="en-US"/>
              </w:rPr>
            </w:pP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Poryadin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G. V.,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Salmasi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Z. M.,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Kazimirskii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A. N.,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Makarov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A. I.,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Bozieva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T. I. 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Effects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of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tissue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mediators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on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the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in vitro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experession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of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surface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antigents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by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human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lymphocytes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  // Bulletin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of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Experimental </w:t>
            </w:r>
            <w:r>
              <w:rPr>
                <w:rStyle w:val="spellingerror"/>
                <w:color w:val="000000"/>
                <w:sz w:val="28"/>
                <w:szCs w:val="28"/>
                <w:lang w:val="de-DE"/>
              </w:rPr>
              <w:t>Biology</w:t>
            </w:r>
            <w:r>
              <w:rPr>
                <w:rStyle w:val="normaltextrun"/>
                <w:color w:val="000000"/>
                <w:sz w:val="28"/>
                <w:szCs w:val="28"/>
                <w:lang w:val="de-DE"/>
              </w:rPr>
              <w:t> and Medicine</w:t>
            </w:r>
            <w:r>
              <w:rPr>
                <w:rStyle w:val="eop"/>
                <w:sz w:val="28"/>
                <w:szCs w:val="28"/>
                <w:lang w:val="en-US"/>
              </w:rPr>
              <w:t> </w:t>
            </w:r>
          </w:p>
          <w:p w:rsidR="00351561" w:rsidRDefault="00DC3065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  <w:lang w:val="de-DE"/>
              </w:rPr>
              <w:t>1995.№ 2. pp.196-199.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351561" w:rsidRDefault="00351561">
            <w:pPr>
              <w:pStyle w:val="Standard"/>
              <w:spacing w:line="36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351561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Савченко А.А., Сунцова Л.Н. Высокочувствительное определение активности дегидрогеназ в лимфоцитах периферической крови биолюминесцентным методом //Лабораторное дело, 1989.№11.С.23-25.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Savchenko A.A., Suntsova L.N. Higly </w:t>
            </w:r>
            <w:r>
              <w:rPr>
                <w:sz w:val="28"/>
                <w:szCs w:val="28"/>
                <w:lang w:val="en-US"/>
              </w:rPr>
              <w:t>sensitive determination of the dehydrogenase activity in peripheral blood lymphocytes using a bioluminescent method. Laboratory case, 1989, no.11, pp. 23-25.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351561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Савченко А.А., Борисов А.Г. Основы клинической иммунометаболомики. - Новосибирск: Наука, 2012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. - 263с.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Savchenco A.A., Borisov A.G. Basis of the Clinical immunometabol omic. Novosibirsk: Science, 2012, 263p.</w:t>
            </w:r>
          </w:p>
          <w:p w:rsidR="00351561" w:rsidRDefault="00351561">
            <w:pPr>
              <w:pStyle w:val="Standard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http://elibrary.ru/item.asp?id=20257941</w:t>
            </w:r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trHeight w:val="3551"/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Самсыгина Г.А. Современное лечение острых респираторных заболеваний у детей //Педиатрия, 2013. Т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.92., №3. С.38-42.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widowControl/>
              <w:shd w:val="clear" w:color="auto" w:fill="FFFFFF"/>
              <w:suppressAutoHyphens w:val="0"/>
              <w:spacing w:line="360" w:lineRule="auto"/>
              <w:jc w:val="center"/>
              <w:textAlignment w:val="auto"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Samsigina G.A.</w:t>
            </w:r>
          </w:p>
          <w:p w:rsidR="00351561" w:rsidRDefault="00DC3065">
            <w:pPr>
              <w:widowControl/>
              <w:shd w:val="clear" w:color="auto" w:fill="FFFFFF"/>
              <w:suppressAutoHyphens w:val="0"/>
              <w:spacing w:line="360" w:lineRule="auto"/>
              <w:jc w:val="center"/>
              <w:textAlignment w:val="auto"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Modern treatment of</w:t>
            </w:r>
          </w:p>
          <w:p w:rsidR="00351561" w:rsidRDefault="00DC3065">
            <w:pPr>
              <w:shd w:val="clear" w:color="auto" w:fill="FFFFFF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acute respiratory diseases in children //</w:t>
            </w:r>
          </w:p>
          <w:p w:rsidR="00351561" w:rsidRDefault="00DC3065">
            <w:pPr>
              <w:widowControl/>
              <w:shd w:val="clear" w:color="auto" w:fill="FFFFFF"/>
              <w:suppressAutoHyphens w:val="0"/>
              <w:spacing w:line="360" w:lineRule="auto"/>
              <w:jc w:val="center"/>
              <w:textAlignment w:val="auto"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Pediatritics, 2013 V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ol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.92, 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no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.3.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pp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. 38-42.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</w:pPr>
            <w:r>
              <w:rPr>
                <w:sz w:val="28"/>
                <w:szCs w:val="28"/>
              </w:rPr>
              <w:t>http://elibrary.ru/item.asp?id=19083766</w:t>
            </w:r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Boyum A. Isolation of lymphocytes from blood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and marrow. Scand. Clin.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Lab. Invest, 1968, Vol.21, no 97, pp. 77-80.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https://www.sigmaaldrich.com/con</w:t>
            </w:r>
            <w:r>
              <w:rPr>
                <w:sz w:val="28"/>
                <w:szCs w:val="28"/>
              </w:rPr>
              <w:lastRenderedPageBreak/>
              <w:t>tent/dam/sigma-aldrich/docs/Sigma/Product_Information_Sheet/10831pis.pdf</w:t>
            </w:r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11.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Hamed Y.B., Medydoub A., Kara B.M., Merzour H., Villemin D., Narce M. 5,6-dihydro-2H-pyranones and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5,6-dihydro-2H-pypyridones and their derivatives modulate in vitro human T lymphocyte function. Mol. Cell. Biochem. 2012, 360 (1-2), 23-33.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http://dspace.univ-tlemcen.dz/bitstream/112/5701/1/Article2.pdf</w:t>
            </w:r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Pallardo F.V., Markovic J., Garcia- Gimener J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.L., Vina J. Role of nuclear glutathione as a key requlator of cell proliferation.Mol. Aspects. Med.,2009, Vol. 30, no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1,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pp. 77-85.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https://www.scirp.org/reference/ReferencesPapers.aspx?ReferenceID=1194812</w:t>
            </w:r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Roth S., Droge W. Glutathione reverses the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inhibition of T cell responses by superoptimal numbers of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lastRenderedPageBreak/>
              <w:t>«Nonprofessional» antigen presenting cells. Cell. Immunol.1994, 155 (1), 183-194.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http://www.biomedsearch.com/nih/Glutathione-reverses-inhibition-T-</w:t>
            </w:r>
            <w:r>
              <w:rPr>
                <w:sz w:val="28"/>
                <w:szCs w:val="28"/>
                <w:lang w:val="en-US"/>
              </w:rPr>
              <w:lastRenderedPageBreak/>
              <w:t>cell/8168145.html</w:t>
            </w:r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</w:pPr>
            <w:r>
              <w:rPr>
                <w:sz w:val="28"/>
                <w:szCs w:val="28"/>
                <w:lang w:val="ru-RU"/>
              </w:rPr>
              <w:lastRenderedPageBreak/>
              <w:t>14.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Toldi G., Kaposi A., Zsem</w:t>
            </w:r>
            <w:r>
              <w:rPr>
                <w:sz w:val="28"/>
                <w:szCs w:val="28"/>
              </w:rPr>
              <w:t>bery A., Treszl A., Tilassay T., Vasarhelyi B. Human Th 1 and Th 2 lymphocytes are distingwished by calcinum flux regulation during the first 10 min of lymphocyte activation Zimmunobiology 2012, 217 (1), 37-43.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http://www.biomedsearch.com/nih/Human-Th1-Th2-lymphocytes-are/21899918.html</w:t>
            </w:r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</w:pPr>
            <w:r>
              <w:rPr>
                <w:sz w:val="28"/>
                <w:szCs w:val="28"/>
              </w:rPr>
              <w:t>Vyas S., Roberti I. Lymphocyte ATP immune cell function assay in pediatric renal transplants: is it useful</w:t>
            </w:r>
            <w:r>
              <w:rPr>
                <w:sz w:val="28"/>
                <w:szCs w:val="28"/>
                <w:lang w:val="en-US"/>
              </w:rPr>
              <w:t>? Transplant. Proc. 2011, 43 (10), 3675-3678.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</w:pPr>
            <w:hyperlink r:id="rId12" w:history="1">
              <w:r>
                <w:rPr>
                  <w:rStyle w:val="a5"/>
                  <w:sz w:val="28"/>
                  <w:szCs w:val="28"/>
                  <w:lang w:val="en-US"/>
                </w:rPr>
                <w:t>http://www.biomedsearch.com/nih/Lymphocyte-ATP-immune-cell-function/22172824.html</w:t>
              </w:r>
            </w:hyperlink>
          </w:p>
        </w:tc>
      </w:tr>
      <w:tr w:rsidR="003515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Standard"/>
              <w:spacing w:line="360" w:lineRule="auto"/>
              <w:jc w:val="center"/>
            </w:pPr>
            <w:r>
              <w:rPr>
                <w:sz w:val="28"/>
                <w:szCs w:val="28"/>
              </w:rPr>
              <w:t xml:space="preserve">Zhou H., Wu Z., Ma L., Wu W., Yang S., Wang Q., Yuan X., Wu L., Lin X., </w:t>
            </w:r>
            <w:r>
              <w:rPr>
                <w:sz w:val="28"/>
                <w:szCs w:val="28"/>
              </w:rPr>
              <w:t xml:space="preserve">Tan J. Assessing immunologic function through </w:t>
            </w:r>
            <w:r>
              <w:rPr>
                <w:sz w:val="28"/>
                <w:szCs w:val="28"/>
                <w:lang w:val="en-US"/>
              </w:rPr>
              <w:t>CD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</w:rPr>
              <w:t xml:space="preserve"> T-lymphocyte adenosine triphosphate </w:t>
            </w:r>
            <w:r>
              <w:rPr>
                <w:sz w:val="28"/>
                <w:szCs w:val="28"/>
              </w:rPr>
              <w:lastRenderedPageBreak/>
              <w:t xml:space="preserve">levels by ImmuKnow assay in Chinese patients following  renal transplantation. Transplant. Proc. 2011, 43 (7), 2572578. </w:t>
            </w: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561" w:rsidRDefault="00DC3065">
            <w:pPr>
              <w:pStyle w:val="TableContents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http://www.biomedsearch.com/nih/Assessing-Immun</w:t>
            </w:r>
            <w:r>
              <w:rPr>
                <w:sz w:val="28"/>
                <w:szCs w:val="28"/>
                <w:lang w:val="en-US"/>
              </w:rPr>
              <w:t>ologic-Function-Through-CD4/21911125.ht</w:t>
            </w:r>
            <w:r>
              <w:rPr>
                <w:sz w:val="28"/>
                <w:szCs w:val="28"/>
                <w:lang w:val="en-US"/>
              </w:rPr>
              <w:lastRenderedPageBreak/>
              <w:t>ml</w:t>
            </w:r>
          </w:p>
        </w:tc>
      </w:tr>
    </w:tbl>
    <w:p w:rsidR="00351561" w:rsidRDefault="00351561">
      <w:pPr>
        <w:pStyle w:val="Standard"/>
        <w:spacing w:line="360" w:lineRule="auto"/>
        <w:jc w:val="center"/>
      </w:pPr>
    </w:p>
    <w:sectPr w:rsidR="00351561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3065">
      <w:r>
        <w:separator/>
      </w:r>
    </w:p>
  </w:endnote>
  <w:endnote w:type="continuationSeparator" w:id="0">
    <w:p w:rsidR="00000000" w:rsidRDefault="00DC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3065">
      <w:r>
        <w:rPr>
          <w:color w:val="000000"/>
        </w:rPr>
        <w:separator/>
      </w:r>
    </w:p>
  </w:footnote>
  <w:footnote w:type="continuationSeparator" w:id="0">
    <w:p w:rsidR="00000000" w:rsidRDefault="00DC3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1561"/>
    <w:rsid w:val="00351561"/>
    <w:rsid w:val="00DC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Strong"/>
    <w:basedOn w:val="a0"/>
    <w:rPr>
      <w:b/>
      <w:bCs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paragraph" w:customStyle="1" w:styleId="paragraph">
    <w:name w:val="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eop">
    <w:name w:val="eop"/>
    <w:basedOn w:val="a0"/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Strong"/>
    <w:basedOn w:val="a0"/>
    <w:rPr>
      <w:b/>
      <w:bCs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paragraph" w:customStyle="1" w:styleId="paragraph">
    <w:name w:val="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eop">
    <w:name w:val="eop"/>
    <w:basedOn w:val="a0"/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author_items.asp?authorid=1276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22934200" TargetMode="External"/><Relationship Id="rId12" Type="http://schemas.openxmlformats.org/officeDocument/2006/relationships/hyperlink" Target="http://www.biomedsearch.com/nih/Lymphocyte-ATP-immune-cell-function/2217282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library.ru/author_items.asp?authorid=8973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library.ru/author_items.asp?authorid=147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author_items.asp?authorid=127686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2019-06-18T06:41:00Z</cp:lastPrinted>
  <dcterms:created xsi:type="dcterms:W3CDTF">2019-09-24T06:48:00Z</dcterms:created>
  <dcterms:modified xsi:type="dcterms:W3CDTF">2019-09-24T06:48:00Z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