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9D" w:rsidRDefault="000B6847">
      <w:pPr>
        <w:widowControl/>
        <w:shd w:val="clear" w:color="auto" w:fill="FFFFFF"/>
        <w:suppressAutoHyphens w:val="0"/>
        <w:spacing w:line="360" w:lineRule="auto"/>
        <w:jc w:val="center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bookmarkStart w:id="0" w:name="_GoBack"/>
      <w:bookmarkEnd w:id="0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Резюме</w:t>
      </w:r>
    </w:p>
    <w:p w:rsidR="00211C9D" w:rsidRDefault="000B6847">
      <w:pPr>
        <w:widowControl/>
        <w:shd w:val="clear" w:color="auto" w:fill="FFFFFF"/>
        <w:suppressAutoHyphens w:val="0"/>
        <w:spacing w:line="360" w:lineRule="auto"/>
        <w:jc w:val="center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Л.М.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Куртасова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, Н.А. Шакина, Т.В.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Лубнина</w:t>
      </w:r>
      <w:proofErr w:type="spellEnd"/>
    </w:p>
    <w:p w:rsidR="00211C9D" w:rsidRDefault="000B6847">
      <w:pPr>
        <w:widowControl/>
        <w:shd w:val="clear" w:color="auto" w:fill="FFFFFF"/>
        <w:suppressAutoHyphens w:val="0"/>
        <w:spacing w:line="360" w:lineRule="auto"/>
        <w:jc w:val="both"/>
        <w:textAlignment w:val="auto"/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ИЗУЧЕНИЕ КОРРЕЛЯЦИОННЫХ СВЯЗЕЙ ИММУНОФЕНОТИПА И ПОК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А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ЗАТЕЛЕЙ АКТИВНОСТИ МЕТАБОЛИЧЕСКИХ ФЕРМЕНТОВ В ЛИМФ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О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ЦИТАХ КРОВИ У ДЕТЕЙ С Г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ИПЕРТРОФИЕЙ ГЛОТОЧНОЙ МИНДАЛИНЫ</w:t>
      </w:r>
    </w:p>
    <w:p w:rsidR="00211C9D" w:rsidRDefault="000B6847">
      <w:pPr>
        <w:pStyle w:val="Standard"/>
        <w:spacing w:line="360" w:lineRule="auto"/>
        <w:jc w:val="both"/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Цель исследования: изучение корреляционной зависимости между фенотипом и показателями активности НА</w:t>
      </w:r>
      <w:proofErr w:type="gramStart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Д(</w:t>
      </w:r>
      <w:proofErr w:type="gramEnd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Ф)-зависимых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дегидрогеназ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лимфоцитов периферической крови у детей раннего возраста с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гпипертрофией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глоточной миндалины (ГГМ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). Материалы и методы: обследовано 57 детей в возрасте 1-3 лет с ГГМ. Контрольную группу составили 35 здоровых детей аналогичного возраста. Содержание </w:t>
      </w:r>
      <w:r>
        <w:rPr>
          <w:sz w:val="28"/>
          <w:lang w:val="en-US"/>
        </w:rPr>
        <w:t>CD</w:t>
      </w:r>
      <w:r>
        <w:rPr>
          <w:sz w:val="28"/>
          <w:vertAlign w:val="subscript"/>
          <w:lang w:val="ru-RU"/>
        </w:rPr>
        <w:t>3</w:t>
      </w:r>
      <w:r>
        <w:rPr>
          <w:sz w:val="28"/>
          <w:vertAlign w:val="superscript"/>
          <w:lang w:val="ru-RU"/>
        </w:rPr>
        <w:t>+</w:t>
      </w:r>
      <w:r>
        <w:rPr>
          <w:sz w:val="28"/>
          <w:lang w:val="ru-RU"/>
        </w:rPr>
        <w:t xml:space="preserve">-, </w:t>
      </w:r>
      <w:r>
        <w:rPr>
          <w:sz w:val="28"/>
          <w:lang w:val="en-US"/>
        </w:rPr>
        <w:t>CD</w:t>
      </w:r>
      <w:r>
        <w:rPr>
          <w:sz w:val="28"/>
          <w:vertAlign w:val="subscript"/>
          <w:lang w:val="ru-RU"/>
        </w:rPr>
        <w:t>4</w:t>
      </w:r>
      <w:r>
        <w:rPr>
          <w:sz w:val="28"/>
          <w:vertAlign w:val="superscript"/>
          <w:lang w:val="ru-RU"/>
        </w:rPr>
        <w:t>+</w:t>
      </w:r>
      <w:r>
        <w:rPr>
          <w:sz w:val="28"/>
          <w:lang w:val="ru-RU"/>
        </w:rPr>
        <w:t xml:space="preserve">-, </w:t>
      </w:r>
      <w:r>
        <w:rPr>
          <w:sz w:val="28"/>
          <w:lang w:val="en-US"/>
        </w:rPr>
        <w:t>CD</w:t>
      </w:r>
      <w:r>
        <w:rPr>
          <w:sz w:val="28"/>
          <w:vertAlign w:val="subscript"/>
          <w:lang w:val="ru-RU"/>
        </w:rPr>
        <w:t>8</w:t>
      </w:r>
      <w:r>
        <w:rPr>
          <w:sz w:val="28"/>
          <w:vertAlign w:val="superscript"/>
          <w:lang w:val="ru-RU"/>
        </w:rPr>
        <w:t>+</w:t>
      </w:r>
      <w:r>
        <w:rPr>
          <w:sz w:val="28"/>
          <w:lang w:val="ru-RU"/>
        </w:rPr>
        <w:t xml:space="preserve">-, </w:t>
      </w:r>
      <w:r>
        <w:rPr>
          <w:sz w:val="28"/>
          <w:lang w:val="en-US"/>
        </w:rPr>
        <w:t>CD</w:t>
      </w:r>
      <w:r>
        <w:rPr>
          <w:sz w:val="28"/>
          <w:vertAlign w:val="subscript"/>
          <w:lang w:val="ru-RU"/>
        </w:rPr>
        <w:t>19</w:t>
      </w:r>
      <w:r>
        <w:rPr>
          <w:sz w:val="28"/>
          <w:vertAlign w:val="superscript"/>
          <w:lang w:val="ru-RU"/>
        </w:rPr>
        <w:t>+</w:t>
      </w:r>
      <w:r>
        <w:rPr>
          <w:sz w:val="28"/>
          <w:lang w:val="ru-RU"/>
        </w:rPr>
        <w:t xml:space="preserve">-, </w:t>
      </w:r>
      <w:r>
        <w:rPr>
          <w:sz w:val="28"/>
          <w:lang w:val="en-US"/>
        </w:rPr>
        <w:t>CD</w:t>
      </w:r>
      <w:r>
        <w:rPr>
          <w:sz w:val="28"/>
          <w:vertAlign w:val="subscript"/>
          <w:lang w:val="ru-RU"/>
        </w:rPr>
        <w:t>16</w:t>
      </w:r>
      <w:r>
        <w:rPr>
          <w:sz w:val="28"/>
          <w:vertAlign w:val="superscript"/>
          <w:lang w:val="ru-RU"/>
        </w:rPr>
        <w:t>+</w:t>
      </w:r>
      <w:r>
        <w:rPr>
          <w:sz w:val="28"/>
          <w:vertAlign w:val="subscript"/>
          <w:lang w:val="ru-RU"/>
        </w:rPr>
        <w:t>/56</w:t>
      </w:r>
      <w:r>
        <w:rPr>
          <w:sz w:val="28"/>
          <w:vertAlign w:val="superscript"/>
          <w:lang w:val="ru-RU"/>
        </w:rPr>
        <w:t>+</w:t>
      </w:r>
      <w:r>
        <w:rPr>
          <w:sz w:val="28"/>
          <w:lang w:val="ru-RU"/>
        </w:rPr>
        <w:t xml:space="preserve">- клеток в периферической крови определяли методом проточной </w:t>
      </w:r>
      <w:proofErr w:type="spellStart"/>
      <w:r>
        <w:rPr>
          <w:sz w:val="28"/>
          <w:lang w:val="ru-RU"/>
        </w:rPr>
        <w:t>цитофл</w:t>
      </w:r>
      <w:r>
        <w:rPr>
          <w:sz w:val="28"/>
          <w:lang w:val="ru-RU"/>
        </w:rPr>
        <w:t>уориметрии</w:t>
      </w:r>
      <w:proofErr w:type="spellEnd"/>
      <w:r>
        <w:rPr>
          <w:sz w:val="28"/>
          <w:lang w:val="ru-RU"/>
        </w:rPr>
        <w:t>. Активность НА</w:t>
      </w:r>
      <w:proofErr w:type="gramStart"/>
      <w:r>
        <w:rPr>
          <w:sz w:val="28"/>
          <w:lang w:val="ru-RU"/>
        </w:rPr>
        <w:t>Д(</w:t>
      </w:r>
      <w:proofErr w:type="gramEnd"/>
      <w:r>
        <w:rPr>
          <w:sz w:val="28"/>
          <w:lang w:val="ru-RU"/>
        </w:rPr>
        <w:t xml:space="preserve">Ф)- зависимых </w:t>
      </w:r>
      <w:proofErr w:type="spellStart"/>
      <w:r>
        <w:rPr>
          <w:sz w:val="28"/>
          <w:lang w:val="ru-RU"/>
        </w:rPr>
        <w:t>дегидрогеназ</w:t>
      </w:r>
      <w:proofErr w:type="spellEnd"/>
      <w:r>
        <w:rPr>
          <w:sz w:val="28"/>
          <w:lang w:val="ru-RU"/>
        </w:rPr>
        <w:t xml:space="preserve"> в лимфоцитах периферической крови изучали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биолюминесцентным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методом по А.А., Савченко и Л.Н.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Сунцовой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(1989).</w:t>
      </w:r>
    </w:p>
    <w:p w:rsidR="00211C9D" w:rsidRDefault="000B6847">
      <w:pPr>
        <w:widowControl/>
        <w:shd w:val="clear" w:color="auto" w:fill="FFFFFF"/>
        <w:suppressAutoHyphens w:val="0"/>
        <w:spacing w:line="360" w:lineRule="auto"/>
        <w:jc w:val="both"/>
        <w:textAlignment w:val="auto"/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Результаты: корреляционный анализ показал, что у детей с ГГМ нарастает к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о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личество положитель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ных связей, снижается сила корреляционной зависимости и появляются новые взаимосвязи между фенотипом и показателями активности НА</w:t>
      </w:r>
      <w:proofErr w:type="gramStart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Д(</w:t>
      </w:r>
      <w:proofErr w:type="gramEnd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Ф)- зависимых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дегидрогеназ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лимфоцитов периферической крови. </w:t>
      </w:r>
    </w:p>
    <w:p w:rsidR="00211C9D" w:rsidRDefault="000B6847">
      <w:pPr>
        <w:widowControl/>
        <w:shd w:val="clear" w:color="auto" w:fill="FFFFFF"/>
        <w:suppressAutoHyphens w:val="0"/>
        <w:spacing w:line="360" w:lineRule="auto"/>
        <w:jc w:val="both"/>
        <w:textAlignment w:val="auto"/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Заключение: у детей с ГГМ установлены особенности корреляционной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картины взаимосвязей фенотипа и показателей активности НА</w:t>
      </w:r>
      <w:proofErr w:type="gramStart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Д(</w:t>
      </w:r>
      <w:proofErr w:type="gramEnd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Ф)- зависимых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деги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д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рогеназ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лимфоцитов периферической крови.</w:t>
      </w:r>
    </w:p>
    <w:p w:rsidR="00211C9D" w:rsidRDefault="000B6847">
      <w:pPr>
        <w:widowControl/>
        <w:shd w:val="clear" w:color="auto" w:fill="FFFFFF"/>
        <w:suppressAutoHyphens w:val="0"/>
        <w:spacing w:line="360" w:lineRule="auto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Ключевые слова: гипертрофия глоточной миндалины, лимфоцит, фенотип, ферменты, корреляция.</w:t>
      </w:r>
    </w:p>
    <w:p w:rsidR="00211C9D" w:rsidRDefault="00211C9D">
      <w:pPr>
        <w:widowControl/>
        <w:shd w:val="clear" w:color="auto" w:fill="FFFFFF"/>
        <w:suppressAutoHyphens w:val="0"/>
        <w:spacing w:line="360" w:lineRule="auto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</w:p>
    <w:p w:rsidR="00211C9D" w:rsidRDefault="000B6847">
      <w:pPr>
        <w:pStyle w:val="paragraph"/>
        <w:shd w:val="clear" w:color="auto" w:fill="FFFFFF"/>
        <w:spacing w:before="0" w:after="0" w:line="360" w:lineRule="auto"/>
        <w:jc w:val="both"/>
        <w:textAlignment w:val="baseline"/>
      </w:pPr>
      <w:r>
        <w:rPr>
          <w:rStyle w:val="eop"/>
          <w:sz w:val="28"/>
          <w:szCs w:val="28"/>
          <w:lang w:val="en-US"/>
        </w:rPr>
        <w:t> </w:t>
      </w:r>
    </w:p>
    <w:p w:rsidR="00211C9D" w:rsidRDefault="00211C9D">
      <w:pPr>
        <w:pStyle w:val="paragraph"/>
        <w:shd w:val="clear" w:color="auto" w:fill="FFFFFF"/>
        <w:spacing w:before="0" w:after="0" w:line="360" w:lineRule="auto"/>
        <w:jc w:val="both"/>
        <w:textAlignment w:val="baseline"/>
        <w:rPr>
          <w:sz w:val="28"/>
          <w:szCs w:val="28"/>
        </w:rPr>
      </w:pPr>
    </w:p>
    <w:p w:rsidR="00211C9D" w:rsidRDefault="00211C9D">
      <w:pPr>
        <w:pStyle w:val="paragraph"/>
        <w:shd w:val="clear" w:color="auto" w:fill="FFFFFF"/>
        <w:spacing w:before="0" w:after="0" w:line="360" w:lineRule="auto"/>
        <w:jc w:val="both"/>
        <w:textAlignment w:val="baseline"/>
        <w:rPr>
          <w:sz w:val="28"/>
          <w:szCs w:val="28"/>
        </w:rPr>
      </w:pPr>
    </w:p>
    <w:p w:rsidR="00211C9D" w:rsidRDefault="00211C9D">
      <w:pPr>
        <w:pStyle w:val="paragraph"/>
        <w:spacing w:before="0" w:after="0" w:line="360" w:lineRule="auto"/>
        <w:jc w:val="center"/>
        <w:textAlignment w:val="baseline"/>
      </w:pPr>
    </w:p>
    <w:p w:rsidR="00211C9D" w:rsidRDefault="00211C9D">
      <w:pPr>
        <w:pStyle w:val="paragraph"/>
        <w:spacing w:before="0" w:after="0" w:line="360" w:lineRule="auto"/>
        <w:jc w:val="center"/>
        <w:textAlignment w:val="baseline"/>
      </w:pPr>
    </w:p>
    <w:p w:rsidR="00211C9D" w:rsidRPr="00CB3E32" w:rsidRDefault="000B6847">
      <w:pPr>
        <w:pStyle w:val="paragraph"/>
        <w:spacing w:before="0" w:after="0" w:line="360" w:lineRule="auto"/>
        <w:jc w:val="center"/>
        <w:textAlignment w:val="baseline"/>
        <w:rPr>
          <w:lang w:val="en-US"/>
        </w:rPr>
      </w:pPr>
      <w:r>
        <w:rPr>
          <w:rStyle w:val="normaltextrun"/>
          <w:sz w:val="28"/>
          <w:szCs w:val="28"/>
          <w:lang w:val="en-US"/>
        </w:rPr>
        <w:lastRenderedPageBreak/>
        <w:t>Resume</w:t>
      </w:r>
      <w:r>
        <w:rPr>
          <w:rStyle w:val="eop"/>
          <w:sz w:val="28"/>
          <w:szCs w:val="28"/>
          <w:lang w:val="en-US"/>
        </w:rPr>
        <w:t> </w:t>
      </w:r>
    </w:p>
    <w:p w:rsidR="00211C9D" w:rsidRPr="00CB3E32" w:rsidRDefault="000B6847">
      <w:pPr>
        <w:pStyle w:val="paragraph"/>
        <w:spacing w:before="0" w:after="0" w:line="360" w:lineRule="auto"/>
        <w:jc w:val="center"/>
        <w:textAlignment w:val="baseline"/>
        <w:rPr>
          <w:lang w:val="en-US"/>
        </w:rPr>
      </w:pPr>
      <w:proofErr w:type="spellStart"/>
      <w:r>
        <w:rPr>
          <w:rStyle w:val="spellingerror"/>
          <w:sz w:val="28"/>
          <w:szCs w:val="28"/>
          <w:lang w:val="en-US"/>
        </w:rPr>
        <w:t>Kurtasova</w:t>
      </w:r>
      <w:proofErr w:type="spellEnd"/>
      <w:r>
        <w:rPr>
          <w:rStyle w:val="normaltextrun"/>
          <w:sz w:val="28"/>
          <w:szCs w:val="28"/>
          <w:lang w:val="en-US"/>
        </w:rPr>
        <w:t> L.M., Shakina N.A., </w:t>
      </w:r>
      <w:proofErr w:type="spellStart"/>
      <w:r>
        <w:rPr>
          <w:rStyle w:val="spellingerror"/>
          <w:sz w:val="28"/>
          <w:szCs w:val="28"/>
          <w:lang w:val="en-US"/>
        </w:rPr>
        <w:t>Lubnina</w:t>
      </w:r>
      <w:proofErr w:type="spellEnd"/>
      <w:r>
        <w:rPr>
          <w:rStyle w:val="normaltextrun"/>
          <w:sz w:val="28"/>
          <w:szCs w:val="28"/>
          <w:lang w:val="en-US"/>
        </w:rPr>
        <w:t> T.V.</w:t>
      </w:r>
      <w:r>
        <w:rPr>
          <w:rStyle w:val="eop"/>
          <w:sz w:val="28"/>
          <w:szCs w:val="28"/>
          <w:lang w:val="en-US"/>
        </w:rPr>
        <w:t> </w:t>
      </w:r>
    </w:p>
    <w:p w:rsidR="00211C9D" w:rsidRPr="00CB3E32" w:rsidRDefault="000B6847">
      <w:pPr>
        <w:pStyle w:val="paragraph"/>
        <w:spacing w:before="0" w:after="0" w:line="360" w:lineRule="auto"/>
        <w:jc w:val="center"/>
        <w:textAlignment w:val="baseline"/>
        <w:rPr>
          <w:lang w:val="en-US"/>
        </w:rPr>
      </w:pPr>
      <w:r>
        <w:rPr>
          <w:rStyle w:val="eop"/>
          <w:sz w:val="28"/>
          <w:szCs w:val="28"/>
          <w:lang w:val="en-US"/>
        </w:rPr>
        <w:t> </w:t>
      </w:r>
      <w:r>
        <w:rPr>
          <w:rStyle w:val="normaltextrun"/>
          <w:sz w:val="28"/>
          <w:szCs w:val="28"/>
          <w:lang w:val="en-US"/>
        </w:rPr>
        <w:t>RESEARCH OF CORRELATIONS OF IMMUNOPHENOTYPE AND THE INDICATORS OF METABOLIC ENZYME ACTIVITY OF BLOOD LYMPHOCYTES IN CHILDREN WITH HYPERTROPHY OF THE PHARYNGEAL TONSIL</w:t>
      </w:r>
      <w:r>
        <w:rPr>
          <w:rStyle w:val="eop"/>
          <w:sz w:val="28"/>
          <w:szCs w:val="28"/>
          <w:lang w:val="en-US"/>
        </w:rPr>
        <w:t> </w:t>
      </w:r>
    </w:p>
    <w:p w:rsidR="00211C9D" w:rsidRPr="00CB3E32" w:rsidRDefault="000B6847">
      <w:pPr>
        <w:pStyle w:val="paragraph"/>
        <w:spacing w:before="0" w:after="0" w:line="360" w:lineRule="auto"/>
        <w:jc w:val="both"/>
        <w:textAlignment w:val="baseline"/>
        <w:rPr>
          <w:lang w:val="en-US"/>
        </w:rPr>
      </w:pPr>
      <w:r>
        <w:rPr>
          <w:rStyle w:val="eop"/>
          <w:sz w:val="28"/>
          <w:szCs w:val="28"/>
          <w:lang w:val="en-US"/>
        </w:rPr>
        <w:t>  </w:t>
      </w:r>
      <w:r>
        <w:rPr>
          <w:rStyle w:val="normaltextrun"/>
          <w:b/>
          <w:bCs/>
          <w:sz w:val="28"/>
          <w:szCs w:val="28"/>
          <w:lang w:val="en-US"/>
        </w:rPr>
        <w:t>Objective:</w:t>
      </w:r>
      <w:r>
        <w:rPr>
          <w:rStyle w:val="normaltextrun"/>
          <w:sz w:val="28"/>
          <w:szCs w:val="28"/>
          <w:lang w:val="en-US"/>
        </w:rPr>
        <w:t xml:space="preserve"> to study the correlation between the phenotype and activity </w:t>
      </w:r>
      <w:r>
        <w:rPr>
          <w:rStyle w:val="normaltextrun"/>
          <w:sz w:val="28"/>
          <w:szCs w:val="28"/>
          <w:lang w:val="en-US"/>
        </w:rPr>
        <w:t>indicators of NAD (P)-</w:t>
      </w:r>
      <w:proofErr w:type="spellStart"/>
      <w:r>
        <w:rPr>
          <w:rStyle w:val="spellingerror"/>
          <w:sz w:val="28"/>
          <w:szCs w:val="28"/>
          <w:lang w:val="en-US"/>
        </w:rPr>
        <w:t>dependant</w:t>
      </w:r>
      <w:proofErr w:type="spellEnd"/>
      <w:r>
        <w:rPr>
          <w:rStyle w:val="normaltextrun"/>
          <w:sz w:val="28"/>
          <w:szCs w:val="28"/>
          <w:lang w:val="en-US"/>
        </w:rPr>
        <w:t> dehydrogenases in peripheral blood lymphocytes in young children with hypertrophy of the pharyngeal tonsil (HPT).</w:t>
      </w:r>
      <w:r>
        <w:rPr>
          <w:rStyle w:val="eop"/>
          <w:sz w:val="28"/>
          <w:szCs w:val="28"/>
          <w:lang w:val="en-US"/>
        </w:rPr>
        <w:t> </w:t>
      </w:r>
    </w:p>
    <w:p w:rsidR="00211C9D" w:rsidRDefault="000B6847">
      <w:pPr>
        <w:pStyle w:val="paragraph"/>
        <w:spacing w:before="0" w:after="0" w:line="360" w:lineRule="auto"/>
        <w:jc w:val="both"/>
        <w:textAlignment w:val="baseline"/>
      </w:pPr>
      <w:r>
        <w:rPr>
          <w:rStyle w:val="normaltextrun"/>
          <w:b/>
          <w:bCs/>
          <w:sz w:val="28"/>
          <w:szCs w:val="28"/>
          <w:lang w:val="en-US"/>
        </w:rPr>
        <w:t>Methods:</w:t>
      </w:r>
      <w:r>
        <w:rPr>
          <w:rStyle w:val="normaltextrun"/>
          <w:sz w:val="28"/>
          <w:szCs w:val="28"/>
          <w:lang w:val="en-US"/>
        </w:rPr>
        <w:t> 57 children, 1-3 years of age, with hypertrophy of the pharyngeal tonsil (HPT) were examined. The co</w:t>
      </w:r>
      <w:r>
        <w:rPr>
          <w:rStyle w:val="normaltextrun"/>
          <w:sz w:val="28"/>
          <w:szCs w:val="28"/>
          <w:lang w:val="en-US"/>
        </w:rPr>
        <w:t>ntrol group consisted of 35 healthy children of the same age.  The number CD</w:t>
      </w:r>
      <w:r>
        <w:rPr>
          <w:rStyle w:val="normaltextrun"/>
          <w:sz w:val="28"/>
          <w:szCs w:val="28"/>
          <w:vertAlign w:val="subscript"/>
          <w:lang w:val="en-US"/>
        </w:rPr>
        <w:t>3</w:t>
      </w:r>
      <w:r>
        <w:rPr>
          <w:rStyle w:val="normaltextrun"/>
          <w:sz w:val="28"/>
          <w:szCs w:val="28"/>
          <w:vertAlign w:val="superscript"/>
          <w:lang w:val="en-US"/>
        </w:rPr>
        <w:t>+</w:t>
      </w:r>
      <w:r>
        <w:rPr>
          <w:rStyle w:val="normaltextrun"/>
          <w:sz w:val="28"/>
          <w:szCs w:val="28"/>
          <w:lang w:val="en-US"/>
        </w:rPr>
        <w:t>-, CD</w:t>
      </w:r>
      <w:r>
        <w:rPr>
          <w:rStyle w:val="normaltextrun"/>
          <w:sz w:val="28"/>
          <w:szCs w:val="28"/>
          <w:vertAlign w:val="subscript"/>
          <w:lang w:val="en-US"/>
        </w:rPr>
        <w:t>4</w:t>
      </w:r>
      <w:r>
        <w:rPr>
          <w:rStyle w:val="normaltextrun"/>
          <w:sz w:val="28"/>
          <w:szCs w:val="28"/>
          <w:vertAlign w:val="superscript"/>
          <w:lang w:val="en-US"/>
        </w:rPr>
        <w:t>+</w:t>
      </w:r>
      <w:r>
        <w:rPr>
          <w:rStyle w:val="normaltextrun"/>
          <w:sz w:val="28"/>
          <w:szCs w:val="28"/>
          <w:lang w:val="en-US"/>
        </w:rPr>
        <w:t>-, CD</w:t>
      </w:r>
      <w:r>
        <w:rPr>
          <w:rStyle w:val="normaltextrun"/>
          <w:sz w:val="28"/>
          <w:szCs w:val="28"/>
          <w:vertAlign w:val="subscript"/>
          <w:lang w:val="en-US"/>
        </w:rPr>
        <w:t>8</w:t>
      </w:r>
      <w:r>
        <w:rPr>
          <w:rStyle w:val="normaltextrun"/>
          <w:sz w:val="28"/>
          <w:szCs w:val="28"/>
          <w:vertAlign w:val="superscript"/>
          <w:lang w:val="en-US"/>
        </w:rPr>
        <w:t>+</w:t>
      </w:r>
      <w:r>
        <w:rPr>
          <w:rStyle w:val="normaltextrun"/>
          <w:sz w:val="28"/>
          <w:szCs w:val="28"/>
          <w:lang w:val="en-US"/>
        </w:rPr>
        <w:t>-, CD</w:t>
      </w:r>
      <w:r>
        <w:rPr>
          <w:rStyle w:val="normaltextrun"/>
          <w:sz w:val="28"/>
          <w:szCs w:val="28"/>
          <w:vertAlign w:val="subscript"/>
          <w:lang w:val="en-US"/>
        </w:rPr>
        <w:t>19</w:t>
      </w:r>
      <w:r>
        <w:rPr>
          <w:rStyle w:val="normaltextrun"/>
          <w:sz w:val="28"/>
          <w:szCs w:val="28"/>
          <w:vertAlign w:val="superscript"/>
          <w:lang w:val="en-US"/>
        </w:rPr>
        <w:t>+</w:t>
      </w:r>
      <w:r>
        <w:rPr>
          <w:rStyle w:val="normaltextrun"/>
          <w:sz w:val="28"/>
          <w:szCs w:val="28"/>
          <w:lang w:val="en-US"/>
        </w:rPr>
        <w:t>-, CD</w:t>
      </w:r>
      <w:r>
        <w:rPr>
          <w:rStyle w:val="normaltextrun"/>
          <w:sz w:val="28"/>
          <w:szCs w:val="28"/>
          <w:vertAlign w:val="subscript"/>
          <w:lang w:val="en-US"/>
        </w:rPr>
        <w:t>16</w:t>
      </w:r>
      <w:r>
        <w:rPr>
          <w:rStyle w:val="normaltextrun"/>
          <w:sz w:val="28"/>
          <w:szCs w:val="28"/>
          <w:vertAlign w:val="superscript"/>
          <w:lang w:val="en-US"/>
        </w:rPr>
        <w:t>+</w:t>
      </w:r>
      <w:r>
        <w:rPr>
          <w:rStyle w:val="normaltextrun"/>
          <w:sz w:val="28"/>
          <w:szCs w:val="28"/>
          <w:vertAlign w:val="subscript"/>
          <w:lang w:val="en-US"/>
        </w:rPr>
        <w:t>/56</w:t>
      </w:r>
      <w:r>
        <w:rPr>
          <w:rStyle w:val="normaltextrun"/>
          <w:sz w:val="28"/>
          <w:szCs w:val="28"/>
          <w:vertAlign w:val="superscript"/>
          <w:lang w:val="en-US"/>
        </w:rPr>
        <w:t>+</w:t>
      </w:r>
      <w:r>
        <w:rPr>
          <w:rStyle w:val="normaltextrun"/>
          <w:sz w:val="28"/>
          <w:szCs w:val="28"/>
          <w:lang w:val="en-US"/>
        </w:rPr>
        <w:t>- cells in peripheral blood </w:t>
      </w:r>
      <w:r>
        <w:rPr>
          <w:rStyle w:val="normaltextrun"/>
          <w:color w:val="333333"/>
          <w:sz w:val="28"/>
          <w:szCs w:val="28"/>
          <w:shd w:val="clear" w:color="auto" w:fill="FFFFFF"/>
          <w:lang w:val="de-DE"/>
        </w:rPr>
        <w:t>was </w:t>
      </w:r>
      <w:proofErr w:type="spellStart"/>
      <w:r>
        <w:rPr>
          <w:rStyle w:val="spellingerror"/>
          <w:color w:val="333333"/>
          <w:sz w:val="28"/>
          <w:szCs w:val="28"/>
          <w:shd w:val="clear" w:color="auto" w:fill="FFFFFF"/>
          <w:lang w:val="de-DE"/>
        </w:rPr>
        <w:t>determined</w:t>
      </w:r>
      <w:proofErr w:type="spellEnd"/>
      <w:r>
        <w:rPr>
          <w:rStyle w:val="normaltextrun"/>
          <w:color w:val="333333"/>
          <w:sz w:val="28"/>
          <w:szCs w:val="28"/>
          <w:shd w:val="clear" w:color="auto" w:fill="FFFFFF"/>
          <w:lang w:val="de-DE"/>
        </w:rPr>
        <w:t> </w:t>
      </w:r>
      <w:proofErr w:type="spellStart"/>
      <w:r>
        <w:rPr>
          <w:rStyle w:val="spellingerror"/>
          <w:color w:val="333333"/>
          <w:sz w:val="28"/>
          <w:szCs w:val="28"/>
          <w:shd w:val="clear" w:color="auto" w:fill="FFFFFF"/>
          <w:lang w:val="de-DE"/>
        </w:rPr>
        <w:t>by</w:t>
      </w:r>
      <w:proofErr w:type="spellEnd"/>
      <w:r>
        <w:rPr>
          <w:rStyle w:val="normaltextrun"/>
          <w:color w:val="333333"/>
          <w:sz w:val="28"/>
          <w:szCs w:val="28"/>
          <w:shd w:val="clear" w:color="auto" w:fill="FFFFFF"/>
          <w:lang w:val="de-DE"/>
        </w:rPr>
        <w:t> </w:t>
      </w:r>
      <w:proofErr w:type="spellStart"/>
      <w:r>
        <w:rPr>
          <w:rStyle w:val="spellingerror"/>
          <w:color w:val="333333"/>
          <w:sz w:val="28"/>
          <w:szCs w:val="28"/>
          <w:shd w:val="clear" w:color="auto" w:fill="FFFFFF"/>
          <w:lang w:val="de-DE"/>
        </w:rPr>
        <w:t>flow</w:t>
      </w:r>
      <w:proofErr w:type="spellEnd"/>
      <w:r>
        <w:rPr>
          <w:rStyle w:val="normaltextrun"/>
          <w:color w:val="333333"/>
          <w:sz w:val="28"/>
          <w:szCs w:val="28"/>
          <w:shd w:val="clear" w:color="auto" w:fill="FFFFFF"/>
          <w:lang w:val="de-DE"/>
        </w:rPr>
        <w:t> </w:t>
      </w:r>
      <w:proofErr w:type="spellStart"/>
      <w:r>
        <w:rPr>
          <w:rStyle w:val="spellingerror"/>
          <w:color w:val="333333"/>
          <w:sz w:val="28"/>
          <w:szCs w:val="28"/>
          <w:shd w:val="clear" w:color="auto" w:fill="FFFFFF"/>
          <w:lang w:val="de-DE"/>
        </w:rPr>
        <w:t>cytofluorimetry</w:t>
      </w:r>
      <w:proofErr w:type="spellEnd"/>
      <w:r>
        <w:rPr>
          <w:rStyle w:val="normaltextrun"/>
          <w:color w:val="333333"/>
          <w:sz w:val="28"/>
          <w:szCs w:val="28"/>
          <w:shd w:val="clear" w:color="auto" w:fill="FFFFFF"/>
          <w:lang w:val="de-DE"/>
        </w:rPr>
        <w:t> </w:t>
      </w:r>
      <w:proofErr w:type="spellStart"/>
      <w:r>
        <w:rPr>
          <w:rStyle w:val="spellingerror"/>
          <w:color w:val="333333"/>
          <w:sz w:val="28"/>
          <w:szCs w:val="28"/>
          <w:shd w:val="clear" w:color="auto" w:fill="FFFFFF"/>
          <w:lang w:val="de-DE"/>
        </w:rPr>
        <w:t>method</w:t>
      </w:r>
      <w:proofErr w:type="spellEnd"/>
      <w:r>
        <w:rPr>
          <w:rStyle w:val="normaltextrun"/>
          <w:color w:val="333333"/>
          <w:sz w:val="28"/>
          <w:szCs w:val="28"/>
          <w:shd w:val="clear" w:color="auto" w:fill="FFFFFF"/>
          <w:lang w:val="de-DE"/>
        </w:rPr>
        <w:t>. </w:t>
      </w:r>
      <w:r>
        <w:rPr>
          <w:rStyle w:val="normaltextrun"/>
          <w:sz w:val="28"/>
          <w:szCs w:val="28"/>
          <w:lang w:val="en-US"/>
        </w:rPr>
        <w:t> The activity of NAD (P)-</w:t>
      </w:r>
      <w:proofErr w:type="spellStart"/>
      <w:r>
        <w:rPr>
          <w:rStyle w:val="spellingerror"/>
          <w:sz w:val="28"/>
          <w:szCs w:val="28"/>
          <w:lang w:val="en-US"/>
        </w:rPr>
        <w:t>dependant</w:t>
      </w:r>
      <w:proofErr w:type="spellEnd"/>
      <w:r>
        <w:rPr>
          <w:rStyle w:val="normaltextrun"/>
          <w:sz w:val="28"/>
          <w:szCs w:val="28"/>
          <w:lang w:val="en-US"/>
        </w:rPr>
        <w:t> dehydrogenases in peripheral blood</w:t>
      </w:r>
      <w:r>
        <w:rPr>
          <w:rStyle w:val="normaltextrun"/>
          <w:sz w:val="28"/>
          <w:szCs w:val="28"/>
          <w:lang w:val="en-US"/>
        </w:rPr>
        <w:t xml:space="preserve"> lymphocytes was studied using the bioluminescent method by А.А. </w:t>
      </w:r>
      <w:proofErr w:type="spellStart"/>
      <w:r>
        <w:rPr>
          <w:rStyle w:val="normaltextrun"/>
          <w:sz w:val="28"/>
          <w:szCs w:val="28"/>
          <w:lang w:val="en-US"/>
        </w:rPr>
        <w:t>Savchenko</w:t>
      </w:r>
      <w:proofErr w:type="spellEnd"/>
      <w:r>
        <w:rPr>
          <w:rStyle w:val="normaltextrun"/>
          <w:sz w:val="28"/>
          <w:szCs w:val="28"/>
          <w:lang w:val="en-US"/>
        </w:rPr>
        <w:t xml:space="preserve"> and L.N. </w:t>
      </w:r>
      <w:proofErr w:type="spellStart"/>
      <w:r>
        <w:rPr>
          <w:rStyle w:val="spellingerror"/>
          <w:sz w:val="28"/>
          <w:szCs w:val="28"/>
          <w:lang w:val="en-US"/>
        </w:rPr>
        <w:t>Suntsova</w:t>
      </w:r>
      <w:proofErr w:type="spellEnd"/>
      <w:r>
        <w:rPr>
          <w:rStyle w:val="normaltextrun"/>
          <w:sz w:val="28"/>
          <w:szCs w:val="28"/>
          <w:lang w:val="en-US"/>
        </w:rPr>
        <w:t> (1989).</w:t>
      </w:r>
      <w:r>
        <w:rPr>
          <w:rStyle w:val="eop"/>
          <w:sz w:val="28"/>
          <w:szCs w:val="28"/>
          <w:lang w:val="en-US"/>
        </w:rPr>
        <w:t> </w:t>
      </w:r>
    </w:p>
    <w:p w:rsidR="00211C9D" w:rsidRPr="00CB3E32" w:rsidRDefault="000B6847">
      <w:pPr>
        <w:pStyle w:val="paragraph"/>
        <w:spacing w:before="0" w:after="0" w:line="360" w:lineRule="auto"/>
        <w:jc w:val="both"/>
        <w:textAlignment w:val="baseline"/>
        <w:rPr>
          <w:lang w:val="en-US"/>
        </w:rPr>
      </w:pPr>
      <w:r>
        <w:rPr>
          <w:rStyle w:val="normaltextrun"/>
          <w:b/>
          <w:bCs/>
          <w:sz w:val="28"/>
          <w:szCs w:val="28"/>
          <w:lang w:val="en-US"/>
        </w:rPr>
        <w:t>Results:</w:t>
      </w:r>
      <w:r>
        <w:rPr>
          <w:rStyle w:val="normaltextrun"/>
          <w:sz w:val="28"/>
          <w:szCs w:val="28"/>
          <w:lang w:val="en-US"/>
        </w:rPr>
        <w:t xml:space="preserve"> the correlation analysis has revealed the increase of the positive connections, the decrease of the correlation dependence strength, </w:t>
      </w:r>
      <w:proofErr w:type="gramStart"/>
      <w:r>
        <w:rPr>
          <w:rStyle w:val="normaltextrun"/>
          <w:sz w:val="28"/>
          <w:szCs w:val="28"/>
          <w:lang w:val="en-US"/>
        </w:rPr>
        <w:t>emergence</w:t>
      </w:r>
      <w:proofErr w:type="gramEnd"/>
      <w:r>
        <w:rPr>
          <w:rStyle w:val="normaltextrun"/>
          <w:sz w:val="28"/>
          <w:szCs w:val="28"/>
          <w:lang w:val="en-US"/>
        </w:rPr>
        <w:t xml:space="preserve"> of</w:t>
      </w:r>
      <w:r>
        <w:rPr>
          <w:rStyle w:val="normaltextrun"/>
          <w:sz w:val="28"/>
          <w:szCs w:val="28"/>
          <w:lang w:val="en-US"/>
        </w:rPr>
        <w:t xml:space="preserve"> new connections between phenotype and activity indicators of NAD (P)-</w:t>
      </w:r>
      <w:proofErr w:type="spellStart"/>
      <w:r>
        <w:rPr>
          <w:rStyle w:val="spellingerror"/>
          <w:sz w:val="28"/>
          <w:szCs w:val="28"/>
          <w:lang w:val="en-US"/>
        </w:rPr>
        <w:t>dependant</w:t>
      </w:r>
      <w:proofErr w:type="spellEnd"/>
      <w:r>
        <w:rPr>
          <w:rStyle w:val="normaltextrun"/>
          <w:sz w:val="28"/>
          <w:szCs w:val="28"/>
          <w:lang w:val="en-US"/>
        </w:rPr>
        <w:t> dehydrogenases in peripheral blood lymphocytes in children with hypertrophy of the pharyngeal tonsil (HPT).</w:t>
      </w:r>
      <w:r>
        <w:rPr>
          <w:rStyle w:val="eop"/>
          <w:sz w:val="28"/>
          <w:szCs w:val="28"/>
          <w:lang w:val="en-US"/>
        </w:rPr>
        <w:t> </w:t>
      </w:r>
    </w:p>
    <w:p w:rsidR="00211C9D" w:rsidRPr="00CB3E32" w:rsidRDefault="000B6847">
      <w:pPr>
        <w:pStyle w:val="paragraph"/>
        <w:spacing w:before="0" w:after="0" w:line="360" w:lineRule="auto"/>
        <w:jc w:val="both"/>
        <w:textAlignment w:val="baseline"/>
        <w:rPr>
          <w:lang w:val="en-US"/>
        </w:rPr>
      </w:pPr>
      <w:r>
        <w:rPr>
          <w:rStyle w:val="normaltextrun"/>
          <w:b/>
          <w:bCs/>
          <w:sz w:val="28"/>
          <w:szCs w:val="28"/>
          <w:lang w:val="en-US"/>
        </w:rPr>
        <w:t>Conclusion: </w:t>
      </w:r>
      <w:r>
        <w:rPr>
          <w:rStyle w:val="normaltextrun"/>
          <w:sz w:val="28"/>
          <w:szCs w:val="28"/>
          <w:lang w:val="en-US"/>
        </w:rPr>
        <w:t xml:space="preserve"> the specific features of correlation pattern of </w:t>
      </w:r>
      <w:r>
        <w:rPr>
          <w:rStyle w:val="normaltextrun"/>
          <w:sz w:val="28"/>
          <w:szCs w:val="28"/>
          <w:lang w:val="en-US"/>
        </w:rPr>
        <w:t>connections between the phenotype and activity indicators of NAD (P)-</w:t>
      </w:r>
      <w:proofErr w:type="spellStart"/>
      <w:r>
        <w:rPr>
          <w:rStyle w:val="spellingerror"/>
          <w:sz w:val="28"/>
          <w:szCs w:val="28"/>
          <w:lang w:val="en-US"/>
        </w:rPr>
        <w:t>dependant</w:t>
      </w:r>
      <w:proofErr w:type="spellEnd"/>
      <w:r>
        <w:rPr>
          <w:rStyle w:val="normaltextrun"/>
          <w:sz w:val="28"/>
          <w:szCs w:val="28"/>
          <w:lang w:val="en-US"/>
        </w:rPr>
        <w:t> dehydrogenases in peripheral blood lymphocytes in children with hypertrophy of the pharyngeal tonsil (HPT) have been revealed. </w:t>
      </w:r>
      <w:r>
        <w:rPr>
          <w:rStyle w:val="eop"/>
          <w:sz w:val="28"/>
          <w:szCs w:val="28"/>
          <w:lang w:val="en-US"/>
        </w:rPr>
        <w:t> </w:t>
      </w:r>
    </w:p>
    <w:p w:rsidR="00211C9D" w:rsidRPr="00CB3E32" w:rsidRDefault="000B6847">
      <w:pPr>
        <w:pStyle w:val="paragraph"/>
        <w:spacing w:before="0" w:after="0" w:line="360" w:lineRule="auto"/>
        <w:ind w:left="1560" w:hanging="1560"/>
        <w:jc w:val="both"/>
        <w:textAlignment w:val="baseline"/>
        <w:rPr>
          <w:lang w:val="en-US"/>
        </w:rPr>
      </w:pPr>
      <w:r>
        <w:rPr>
          <w:rStyle w:val="normaltextrun"/>
          <w:b/>
          <w:bCs/>
          <w:sz w:val="28"/>
          <w:szCs w:val="28"/>
          <w:lang w:val="en-US"/>
        </w:rPr>
        <w:t>Key words:</w:t>
      </w:r>
      <w:r>
        <w:rPr>
          <w:rStyle w:val="normaltextrun"/>
          <w:sz w:val="28"/>
          <w:szCs w:val="28"/>
          <w:lang w:val="en-US"/>
        </w:rPr>
        <w:t> hypertrophy of the pharyngeal tonsil,</w:t>
      </w:r>
      <w:r>
        <w:rPr>
          <w:rStyle w:val="normaltextrun"/>
          <w:sz w:val="28"/>
          <w:szCs w:val="28"/>
          <w:lang w:val="en-US"/>
        </w:rPr>
        <w:t xml:space="preserve"> lymphocyte, phenotype, enzymes, correlation.</w:t>
      </w:r>
      <w:r>
        <w:rPr>
          <w:rStyle w:val="eop"/>
          <w:sz w:val="28"/>
          <w:szCs w:val="28"/>
          <w:lang w:val="en-US"/>
        </w:rPr>
        <w:t> </w:t>
      </w:r>
    </w:p>
    <w:p w:rsidR="00211C9D" w:rsidRDefault="00211C9D">
      <w:pPr>
        <w:widowControl/>
        <w:shd w:val="clear" w:color="auto" w:fill="FFFFFF"/>
        <w:suppressAutoHyphens w:val="0"/>
        <w:spacing w:line="360" w:lineRule="auto"/>
        <w:jc w:val="both"/>
        <w:textAlignment w:val="auto"/>
        <w:rPr>
          <w:rFonts w:cs="Times New Roman"/>
          <w:sz w:val="28"/>
          <w:szCs w:val="28"/>
          <w:lang w:val="en-US"/>
        </w:rPr>
      </w:pPr>
    </w:p>
    <w:sectPr w:rsidR="00211C9D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847" w:rsidRDefault="000B6847">
      <w:r>
        <w:separator/>
      </w:r>
    </w:p>
  </w:endnote>
  <w:endnote w:type="continuationSeparator" w:id="0">
    <w:p w:rsidR="000B6847" w:rsidRDefault="000B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847" w:rsidRDefault="000B6847">
      <w:r>
        <w:rPr>
          <w:color w:val="000000"/>
        </w:rPr>
        <w:separator/>
      </w:r>
    </w:p>
  </w:footnote>
  <w:footnote w:type="continuationSeparator" w:id="0">
    <w:p w:rsidR="000B6847" w:rsidRDefault="000B6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11C9D"/>
    <w:rsid w:val="000B6847"/>
    <w:rsid w:val="00211C9D"/>
    <w:rsid w:val="00C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aragraph">
    <w:name w:val="paragraph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eop">
    <w:name w:val="eop"/>
    <w:basedOn w:val="a0"/>
  </w:style>
  <w:style w:type="character" w:customStyle="1" w:styleId="normaltextrun">
    <w:name w:val="normaltextrun"/>
    <w:basedOn w:val="a0"/>
  </w:style>
  <w:style w:type="character" w:customStyle="1" w:styleId="spellingerror">
    <w:name w:val="spellingerro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aragraph">
    <w:name w:val="paragraph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eop">
    <w:name w:val="eop"/>
    <w:basedOn w:val="a0"/>
  </w:style>
  <w:style w:type="character" w:customStyle="1" w:styleId="normaltextrun">
    <w:name w:val="normaltextrun"/>
    <w:basedOn w:val="a0"/>
  </w:style>
  <w:style w:type="character" w:customStyle="1" w:styleId="spellingerror">
    <w:name w:val="spellingerro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2019-07-04T04:29:00Z</dcterms:created>
  <dcterms:modified xsi:type="dcterms:W3CDTF">2019-07-04T04:29:00Z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