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86" w:rsidRDefault="00EB652E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Литература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3210"/>
        <w:gridCol w:w="2595"/>
        <w:gridCol w:w="2122"/>
      </w:tblGrid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Порядковый номер</w:t>
            </w:r>
          </w:p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ссылки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t xml:space="preserve">Полный </w:t>
            </w:r>
            <w:r>
              <w:rPr>
                <w:sz w:val="28"/>
                <w:szCs w:val="28"/>
                <w:lang w:val="ru-RU"/>
              </w:rPr>
              <w:t>интернет-адрес (</w:t>
            </w:r>
            <w:r>
              <w:rPr>
                <w:sz w:val="28"/>
                <w:szCs w:val="28"/>
                <w:lang w:val="en-US"/>
              </w:rPr>
              <w:t>URL</w:t>
            </w:r>
            <w:r>
              <w:rPr>
                <w:sz w:val="28"/>
                <w:szCs w:val="28"/>
                <w:lang w:val="ru-RU"/>
              </w:rPr>
              <w:t>) цитируемой статьи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Борисенко Г.Н.,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Носуля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Е.В., Никулин И.В.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Клинико- эпидемиологические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аспекты заболеваний верхних дыхательных путей у детей с рецидивирующей респираторной инфекцией // Российская ринология, 2014.Т.22, №4. –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С.38-42.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Borisenko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G.N., </w:t>
            </w:r>
            <w:proofErr w:type="spellStart"/>
            <w:r>
              <w:rPr>
                <w:sz w:val="28"/>
                <w:szCs w:val="28"/>
                <w:lang w:val="en-US"/>
              </w:rPr>
              <w:t>Nosulya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E.V., </w:t>
            </w:r>
            <w:proofErr w:type="spellStart"/>
            <w:r>
              <w:rPr>
                <w:sz w:val="28"/>
                <w:szCs w:val="28"/>
                <w:lang w:val="en-US"/>
              </w:rPr>
              <w:t>Nikulin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I.V. Upper respiratory tract diseases in children with recurrent respiratory infection: Clinical and epidemiological </w:t>
            </w:r>
            <w:proofErr w:type="spellStart"/>
            <w:r>
              <w:rPr>
                <w:sz w:val="28"/>
                <w:szCs w:val="28"/>
                <w:lang w:val="en-US"/>
              </w:rPr>
              <w:t>aspects.Russian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Rhinology</w:t>
            </w:r>
            <w:proofErr w:type="gramStart"/>
            <w:r>
              <w:rPr>
                <w:sz w:val="28"/>
                <w:szCs w:val="28"/>
                <w:lang w:val="en-US"/>
              </w:rPr>
              <w:t>,2014</w:t>
            </w:r>
            <w:proofErr w:type="gramEnd"/>
            <w:r>
              <w:rPr>
                <w:sz w:val="28"/>
                <w:szCs w:val="28"/>
                <w:lang w:val="en-US"/>
              </w:rPr>
              <w:t>, Vol. 22, no.4,pp.38-42.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hyperlink r:id="rId7" w:history="1">
              <w:r>
                <w:rPr>
                  <w:rStyle w:val="a5"/>
                  <w:sz w:val="28"/>
                  <w:szCs w:val="28"/>
                  <w:lang w:val="en-US"/>
                </w:rPr>
                <w:t>https://elibrary.ru/item.asp?id=22934200</w:t>
              </w:r>
            </w:hyperlink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Куртасова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Л.М., Шмидт А.Р.,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Лубнина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Т.В. Активность НА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Д(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Ф)- зависимых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дегидрогеназ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в лимфоцитах периферической крови у детей раннего возраста с гипертрофией глоточной миндалины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//Медицинская иммунология, 2014.</w:t>
            </w:r>
          </w:p>
          <w:p w:rsidR="00B81786" w:rsidRDefault="00EB652E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T.16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 №4. С.381-384</w:t>
            </w:r>
          </w:p>
          <w:p w:rsidR="00B81786" w:rsidRDefault="00B81786">
            <w:pPr>
              <w:pStyle w:val="Standard"/>
              <w:spacing w:line="360" w:lineRule="auto"/>
              <w:rPr>
                <w:lang w:val="en-US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hyperlink r:id="rId8" w:tooltip="Список публикаций этого автора" w:history="1">
              <w:proofErr w:type="spellStart"/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Kurtasova</w:t>
              </w:r>
              <w:proofErr w:type="spellEnd"/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 xml:space="preserve"> L.M.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Shmidt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A.R.,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Lubnina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T.V.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NAD(P)-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dependent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dehydrogenase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activity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peripheral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blood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lymphocytes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of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infants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with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enlargement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of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pharyngeal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tonsils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>Medical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Immunology</w:t>
            </w:r>
            <w:proofErr w:type="spellEnd"/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>Russia</w:t>
            </w:r>
            <w:proofErr w:type="spellEnd"/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. 2014;Vol. 16,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no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4, pp. 381-384. 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https://doi.org/10.15789/1563-0625-2014-4-381-384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3.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Куртасова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Л.М., Шакина Н.А.,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Лубнина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Т.В.,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Николева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А.И. Иммунологичес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кие показатели 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энзиматическая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активность лимфоцитов периферической крови у детей с гипертрофией глоточной миндалины //Вестник оториноларингологии, 2017. Т.82, №2. С. 42-45.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hyperlink r:id="rId9" w:tooltip="Список публикаций этого автора" w:history="1">
              <w:proofErr w:type="spellStart"/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Kurtasova</w:t>
              </w:r>
              <w:proofErr w:type="spellEnd"/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 xml:space="preserve"> L.M.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 "https://elibrary.ru/author_items.asp?authorid=147875" \o "Список публикаций этого автора" </w:instrText>
            </w:r>
            <w:r>
              <w:fldChar w:fldCharType="separate"/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Shakina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N.A.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fldChar w:fldCharType="end"/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Lubnina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 T.V., </w:t>
            </w:r>
            <w:proofErr w:type="spellStart"/>
            <w:r>
              <w:fldChar w:fldCharType="begin"/>
            </w:r>
            <w:r>
              <w:instrText xml:space="preserve"> HYPERLINK  "https://elibrary.ru/author_items.asp?authorid=897323" \o "Список публикаций этого автора" </w:instrText>
            </w:r>
            <w:r>
              <w:fldChar w:fldCharType="separate"/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Nikolaeva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A.I.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fldChar w:fldCharType="end"/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  The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immunological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characteristics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and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enzymatic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activity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of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lymphocytes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from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the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peripheral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blood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of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the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children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presenting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with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pharyn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geal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tonsillar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hypertrophy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// .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Vestnik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otorinolaringologii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, 2017; Vol.82, no2, pp.42-45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https://www.mediasphera.ru/issues/vestnik-otorinolaringologii/2017/2/1004246682017021042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t xml:space="preserve">Левина А.С., Бабаченко И.В., Вожик А.А., </w:t>
            </w:r>
            <w:proofErr w:type="spellStart"/>
            <w:r>
              <w:rPr>
                <w:sz w:val="28"/>
                <w:szCs w:val="28"/>
                <w:lang w:val="ru-RU"/>
              </w:rPr>
              <w:t>Кветная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А.С. </w:t>
            </w:r>
            <w:proofErr w:type="spellStart"/>
            <w:r>
              <w:rPr>
                <w:sz w:val="28"/>
                <w:szCs w:val="28"/>
                <w:lang w:val="ru-RU"/>
              </w:rPr>
              <w:t>Персистирующие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инфекции у детей с хроническими заболеваниями Ло</w:t>
            </w:r>
            <w:proofErr w:type="gramStart"/>
            <w:r>
              <w:rPr>
                <w:sz w:val="28"/>
                <w:szCs w:val="28"/>
                <w:lang w:val="ru-RU"/>
              </w:rPr>
              <w:t>р-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органов: возможности этиотропной терапии </w:t>
            </w:r>
            <w:r>
              <w:rPr>
                <w:sz w:val="28"/>
                <w:szCs w:val="28"/>
                <w:lang w:val="ru-RU"/>
              </w:rPr>
              <w:lastRenderedPageBreak/>
              <w:t>//Вестник оториноларингологии, 2015, Т.5, С. 46-50.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widowControl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lastRenderedPageBreak/>
              <w:t>Levina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A.S.,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Babachenko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I.V.,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Vozhik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A.A.,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Kvetnaya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A.S.</w:t>
            </w:r>
          </w:p>
          <w:p w:rsidR="00B81786" w:rsidRDefault="00EB652E">
            <w:pPr>
              <w:pStyle w:val="Standard"/>
              <w:widowControl/>
              <w:spacing w:line="360" w:lineRule="auto"/>
              <w:jc w:val="center"/>
            </w:pPr>
            <w:r>
              <w:rPr>
                <w:rStyle w:val="normaltextrun"/>
                <w:color w:val="000000"/>
                <w:sz w:val="28"/>
                <w:szCs w:val="28"/>
              </w:rPr>
              <w:t>Persistent </w:t>
            </w:r>
            <w:r>
              <w:rPr>
                <w:rStyle w:val="spellingerror"/>
                <w:color w:val="000000"/>
                <w:sz w:val="28"/>
                <w:szCs w:val="28"/>
              </w:rPr>
              <w:t>infections</w:t>
            </w:r>
            <w:r>
              <w:rPr>
                <w:rStyle w:val="normaltextrun"/>
                <w:color w:val="000000"/>
                <w:sz w:val="28"/>
                <w:szCs w:val="28"/>
              </w:rPr>
              <w:t> in </w:t>
            </w:r>
            <w:r>
              <w:rPr>
                <w:rStyle w:val="spellingerror"/>
                <w:color w:val="000000"/>
                <w:sz w:val="28"/>
                <w:szCs w:val="28"/>
              </w:rPr>
              <w:t>the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children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suffering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from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ch</w:t>
            </w:r>
            <w:r>
              <w:rPr>
                <w:rStyle w:val="spellingerror"/>
                <w:color w:val="000000"/>
                <w:sz w:val="28"/>
                <w:szCs w:val="28"/>
              </w:rPr>
              <w:t>ronic</w:t>
            </w:r>
            <w:r>
              <w:rPr>
                <w:rStyle w:val="normaltextrun"/>
                <w:color w:val="000000"/>
                <w:sz w:val="28"/>
                <w:szCs w:val="28"/>
              </w:rPr>
              <w:t> ENT </w:t>
            </w:r>
            <w:r>
              <w:rPr>
                <w:rStyle w:val="spellingerror"/>
                <w:color w:val="000000"/>
                <w:sz w:val="28"/>
                <w:szCs w:val="28"/>
              </w:rPr>
              <w:t>Diseases</w:t>
            </w:r>
            <w:r>
              <w:rPr>
                <w:rStyle w:val="normaltextrun"/>
                <w:color w:val="000000"/>
                <w:sz w:val="28"/>
                <w:szCs w:val="28"/>
              </w:rPr>
              <w:t> and </w:t>
            </w:r>
            <w:r>
              <w:rPr>
                <w:rStyle w:val="spellingerror"/>
                <w:color w:val="000000"/>
                <w:sz w:val="28"/>
                <w:szCs w:val="28"/>
              </w:rPr>
              <w:t>the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possibilities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for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their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with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lastRenderedPageBreak/>
              <w:t>etiotropic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therapy</w:t>
            </w:r>
            <w:r>
              <w:rPr>
                <w:color w:val="000000"/>
                <w:sz w:val="28"/>
                <w:szCs w:val="28"/>
              </w:rPr>
              <w:t xml:space="preserve">//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Vestnik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otorinolaringologii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, </w:t>
            </w:r>
          </w:p>
          <w:p w:rsidR="00B81786" w:rsidRDefault="00EB652E">
            <w:pPr>
              <w:pStyle w:val="Standard"/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2015, Vol.15, pp.46-50.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https://www.mediasphera.ru/issues/vestnik-otorinolaringologii/2015/5/030042-466820150510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Очилов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Р.Т. Современные данные о</w:t>
            </w:r>
            <w:r>
              <w:rPr>
                <w:sz w:val="28"/>
                <w:szCs w:val="28"/>
                <w:lang w:val="ru-RU"/>
              </w:rPr>
              <w:t xml:space="preserve"> проблеме лимфоэпителиального глоточного кольца //Российская оториноларингология, 2014. №1. С.169-171.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Ochilov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R.T. New data on the problem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lymphepithelial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pharyngeal ring. Russian otorhinolaryngology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2014, no.1, pp.169-171.</w:t>
            </w:r>
          </w:p>
          <w:p w:rsidR="00B81786" w:rsidRDefault="00B81786">
            <w:pPr>
              <w:pStyle w:val="Standard"/>
              <w:widowControl/>
              <w:spacing w:line="360" w:lineRule="auto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https://elibrary.ru/item.asp?i</w:t>
            </w:r>
            <w:r>
              <w:rPr>
                <w:sz w:val="28"/>
                <w:szCs w:val="28"/>
              </w:rPr>
              <w:t>d=21338615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  <w:lang w:val="ru-RU"/>
              </w:rPr>
              <w:t>Порядин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Г.В., </w:t>
            </w:r>
            <w:proofErr w:type="spellStart"/>
            <w:r>
              <w:rPr>
                <w:sz w:val="28"/>
                <w:szCs w:val="28"/>
                <w:lang w:val="ru-RU"/>
              </w:rPr>
              <w:t>Самаси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Ж.М., </w:t>
            </w:r>
            <w:proofErr w:type="spellStart"/>
            <w:r>
              <w:rPr>
                <w:sz w:val="28"/>
                <w:szCs w:val="28"/>
                <w:lang w:val="ru-RU"/>
              </w:rPr>
              <w:t>Казимирский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А.Н., Макаров А.И., </w:t>
            </w:r>
            <w:proofErr w:type="spellStart"/>
            <w:r>
              <w:rPr>
                <w:sz w:val="28"/>
                <w:szCs w:val="28"/>
                <w:lang w:val="ru-RU"/>
              </w:rPr>
              <w:t>Бозиева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Т.И. Изучение влияния медиаторов тканевого происхождения на экспрессию поверхностных антигенов лимфоцитов человека </w:t>
            </w:r>
            <w:r>
              <w:rPr>
                <w:sz w:val="28"/>
                <w:szCs w:val="28"/>
                <w:lang w:val="en-US"/>
              </w:rPr>
              <w:t>in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vitro</w:t>
            </w:r>
            <w:r>
              <w:rPr>
                <w:sz w:val="28"/>
                <w:szCs w:val="28"/>
                <w:lang w:val="ru-RU"/>
              </w:rPr>
              <w:t xml:space="preserve">. Бюллетень экспериментальной биологии и медицины, </w:t>
            </w:r>
            <w:r>
              <w:rPr>
                <w:sz w:val="28"/>
                <w:szCs w:val="28"/>
                <w:lang w:val="ru-RU"/>
              </w:rPr>
              <w:t xml:space="preserve">1995.№ 2. С.196-199.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Pr="004A1599" w:rsidRDefault="00EB652E">
            <w:pPr>
              <w:pStyle w:val="paragraph"/>
              <w:spacing w:before="0" w:after="0" w:line="360" w:lineRule="auto"/>
              <w:jc w:val="center"/>
              <w:textAlignment w:val="baseline"/>
              <w:rPr>
                <w:lang w:val="en-US"/>
              </w:rPr>
            </w:pP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Poryadin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G. V.,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Salmasi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Z. M.,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Kazimirskii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A. N.,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Makarov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A. I.,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Bozieva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T. I. 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Effects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tissue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mediators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on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the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in vitro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experession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surface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antigents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by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human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lymphocytes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  // Bulletin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Experimental 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Biology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and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Medicine</w:t>
            </w:r>
            <w:proofErr w:type="spellEnd"/>
            <w:r>
              <w:rPr>
                <w:rStyle w:val="eop"/>
                <w:sz w:val="28"/>
                <w:szCs w:val="28"/>
                <w:lang w:val="en-US"/>
              </w:rPr>
              <w:t> </w:t>
            </w:r>
          </w:p>
          <w:p w:rsidR="00B81786" w:rsidRDefault="00EB652E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  <w:lang w:val="de-DE"/>
              </w:rPr>
              <w:t>1995.№ 2. pp.196-199.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81786" w:rsidRDefault="00B81786">
            <w:pPr>
              <w:pStyle w:val="Standard"/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B81786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Савченко А.А.,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Сунцова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Л.Н. Высокочувствительное определение активности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дегидрогеназ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в лимфоцитах периферической крови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биолюминесцентным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методом //Лабораторное дело, 1989.№11.С.23-25.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Savchenko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A.A., </w:t>
            </w:r>
            <w:proofErr w:type="spellStart"/>
            <w:r>
              <w:rPr>
                <w:sz w:val="28"/>
                <w:szCs w:val="28"/>
                <w:lang w:val="en-US"/>
              </w:rPr>
              <w:t>Suntsova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L.N. </w:t>
            </w:r>
            <w:proofErr w:type="spellStart"/>
            <w:r>
              <w:rPr>
                <w:sz w:val="28"/>
                <w:szCs w:val="28"/>
                <w:lang w:val="en-US"/>
              </w:rPr>
              <w:t>Higly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sensitive determination of the dehydrogenase activity in peripheral blood lymphocytes using a bioluminescent method. Laboratory case, 1989, no.11, pp. 23-25.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B81786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Савченко А.А., Борисов А.Г. Основы клинической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иммунометаболомики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>. - Новосибирск: Наука, 2012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. - 263с.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Savchenco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A.A., </w:t>
            </w:r>
            <w:proofErr w:type="spellStart"/>
            <w:r>
              <w:rPr>
                <w:sz w:val="28"/>
                <w:szCs w:val="28"/>
                <w:lang w:val="en-US"/>
              </w:rPr>
              <w:t>Borisov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A.G. Basis of the Clinical </w:t>
            </w:r>
            <w:proofErr w:type="spellStart"/>
            <w:r>
              <w:rPr>
                <w:sz w:val="28"/>
                <w:szCs w:val="28"/>
                <w:lang w:val="en-US"/>
              </w:rPr>
              <w:t>immunometabol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omic</w:t>
            </w:r>
            <w:proofErr w:type="spellEnd"/>
            <w:r>
              <w:rPr>
                <w:sz w:val="28"/>
                <w:szCs w:val="28"/>
                <w:lang w:val="en-US"/>
              </w:rPr>
              <w:t>. Novosibirsk: Science, 2012, 263p.</w:t>
            </w:r>
          </w:p>
          <w:p w:rsidR="00B81786" w:rsidRDefault="00B81786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http://elibrary.ru/item.asp?id=20257941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trHeight w:val="3551"/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Самсыгина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Г.А. Современное лечение острых респираторных заболеваний у детей //Педиатрия, 2013. Т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.92., №3. С.38-42.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Samsigina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 xml:space="preserve"> G.A.</w:t>
            </w:r>
          </w:p>
          <w:p w:rsidR="00B81786" w:rsidRDefault="00EB652E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Modern treatment of</w:t>
            </w:r>
          </w:p>
          <w:p w:rsidR="00B81786" w:rsidRDefault="00EB652E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acute respiratory diseases in children //</w:t>
            </w:r>
          </w:p>
          <w:p w:rsidR="00B81786" w:rsidRDefault="00EB652E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Pediatritics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, 2013 V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ol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.92,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no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.3.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pp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. 38-42.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</w:rPr>
              <w:t>http://elibrary.ru/item.asp?id=19083766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Boyum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A. Isolation of lymphocytes from blood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and marrow. Scand.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Clin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Lab. Invest, 1968, Vol.21, no 97, pp. 77-80.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https://www.sigmaaldrich.com/con</w:t>
            </w:r>
            <w:r>
              <w:rPr>
                <w:sz w:val="28"/>
                <w:szCs w:val="28"/>
              </w:rPr>
              <w:lastRenderedPageBreak/>
              <w:t>tent/dam/sigma-aldrich/docs/Sigma/Product_Information_Sheet/10831pis.pdf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11.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Hamed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Y.B.,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Medydoub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A., Kara B.M.,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Merzour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H.,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Villemin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D. et al. 5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en-US"/>
              </w:rPr>
              <w:t>,6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-dihydro-2H-pyranones and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5,6-dihydro-2H-pypyridones and their derivatives modulate in vitro human T lymphocyte function. Mol. Cell.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Biochem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>. 2012, 360 (1-2), 23-33.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http://dspace.univ-tlemcen.dz/bitstream/112/5701/1/Article2.pdf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Pallardo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F.V.,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Markovic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J., Garcia-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Gimener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J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.L.,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Vina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J. Role of nuclear glutathione as a key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requlator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of cell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proliferation.Mol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>. Aspects. Med.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en-US"/>
              </w:rPr>
              <w:t>,2009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en-US"/>
              </w:rPr>
              <w:t>, Vol. 30, no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1,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pp. 77-85.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https://www.scirp.org/reference/ReferencesPapers.aspx?ReferenceID=1194812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Roth S.,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Droge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W. Glutathione reverses the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inhibition of T cell responses by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superoptimal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numbers of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«Nonprofessional» antigen presenting cells. Cell. Immunol.1994, 155 (1), 183-194.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http://www.biomedsearch.com/nih/Glutathione-reverses-inhibition-T-</w:t>
            </w:r>
            <w:r>
              <w:rPr>
                <w:sz w:val="28"/>
                <w:szCs w:val="28"/>
                <w:lang w:val="en-US"/>
              </w:rPr>
              <w:lastRenderedPageBreak/>
              <w:t>cell/8168145.html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Toldgi</w:t>
            </w:r>
            <w:proofErr w:type="spellEnd"/>
            <w:r>
              <w:rPr>
                <w:sz w:val="28"/>
                <w:szCs w:val="28"/>
              </w:rPr>
              <w:t xml:space="preserve"> G., </w:t>
            </w:r>
            <w:proofErr w:type="spellStart"/>
            <w:r>
              <w:rPr>
                <w:sz w:val="28"/>
                <w:szCs w:val="28"/>
              </w:rPr>
              <w:t>Kaposi</w:t>
            </w:r>
            <w:proofErr w:type="spellEnd"/>
            <w:r>
              <w:rPr>
                <w:sz w:val="28"/>
                <w:szCs w:val="28"/>
              </w:rPr>
              <w:t xml:space="preserve"> A., </w:t>
            </w:r>
            <w:proofErr w:type="spellStart"/>
            <w:r>
              <w:rPr>
                <w:sz w:val="28"/>
                <w:szCs w:val="28"/>
              </w:rPr>
              <w:t>Zse</w:t>
            </w:r>
            <w:r>
              <w:rPr>
                <w:sz w:val="28"/>
                <w:szCs w:val="28"/>
              </w:rPr>
              <w:t>mbery</w:t>
            </w:r>
            <w:proofErr w:type="spellEnd"/>
            <w:r>
              <w:rPr>
                <w:sz w:val="28"/>
                <w:szCs w:val="28"/>
              </w:rPr>
              <w:t xml:space="preserve"> A. et al. Human </w:t>
            </w:r>
            <w:proofErr w:type="spellStart"/>
            <w:r>
              <w:rPr>
                <w:sz w:val="28"/>
                <w:szCs w:val="28"/>
              </w:rPr>
              <w:t>Th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lymphocytes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distingwished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calcinum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flux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regulation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during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first</w:t>
            </w:r>
            <w:proofErr w:type="spellEnd"/>
            <w:r>
              <w:rPr>
                <w:sz w:val="28"/>
                <w:szCs w:val="28"/>
              </w:rPr>
              <w:t xml:space="preserve"> 10 min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lymphocyte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activation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Zimmunobiology</w:t>
            </w:r>
            <w:proofErr w:type="spellEnd"/>
            <w:r>
              <w:rPr>
                <w:sz w:val="28"/>
                <w:szCs w:val="28"/>
              </w:rPr>
              <w:t xml:space="preserve"> 2012, 217 (1), 37-43.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http://www.biomedsearch.com/nih/Human-Th1-Th2-lymphocytes-are/21899918.html</w:t>
            </w:r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Vyas</w:t>
            </w:r>
            <w:proofErr w:type="spellEnd"/>
            <w:r>
              <w:rPr>
                <w:sz w:val="28"/>
                <w:szCs w:val="28"/>
              </w:rPr>
              <w:t xml:space="preserve"> S., </w:t>
            </w:r>
            <w:proofErr w:type="spellStart"/>
            <w:r>
              <w:rPr>
                <w:sz w:val="28"/>
                <w:szCs w:val="28"/>
              </w:rPr>
              <w:t>Roberti</w:t>
            </w:r>
            <w:proofErr w:type="spellEnd"/>
            <w:r>
              <w:rPr>
                <w:sz w:val="28"/>
                <w:szCs w:val="28"/>
              </w:rPr>
              <w:t xml:space="preserve"> I. </w:t>
            </w:r>
            <w:proofErr w:type="spellStart"/>
            <w:r>
              <w:rPr>
                <w:sz w:val="28"/>
                <w:szCs w:val="28"/>
              </w:rPr>
              <w:t>Lymphocyte</w:t>
            </w:r>
            <w:proofErr w:type="spellEnd"/>
            <w:r>
              <w:rPr>
                <w:sz w:val="28"/>
                <w:szCs w:val="28"/>
              </w:rPr>
              <w:t xml:space="preserve"> ATP immune 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function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assay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pediatric</w:t>
            </w:r>
            <w:proofErr w:type="spellEnd"/>
            <w:r>
              <w:rPr>
                <w:sz w:val="28"/>
                <w:szCs w:val="28"/>
              </w:rPr>
              <w:t xml:space="preserve"> renal </w:t>
            </w:r>
            <w:proofErr w:type="spellStart"/>
            <w:r>
              <w:rPr>
                <w:sz w:val="28"/>
                <w:szCs w:val="28"/>
              </w:rPr>
              <w:t>transplants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useful</w:t>
            </w:r>
            <w:proofErr w:type="spellEnd"/>
            <w:r>
              <w:rPr>
                <w:sz w:val="28"/>
                <w:szCs w:val="28"/>
                <w:lang w:val="en-US"/>
              </w:rPr>
              <w:t>? Transplant. Proc. 2011, 43 (10), 3675-3678.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hyperlink r:id="rId10" w:history="1">
              <w:r>
                <w:rPr>
                  <w:rStyle w:val="a5"/>
                  <w:sz w:val="28"/>
                  <w:szCs w:val="28"/>
                  <w:lang w:val="en-US"/>
                </w:rPr>
                <w:t>http://www.biomedsearch.com/nih/Lymphocyte-ATP-immune-cell-function/22172824.html</w:t>
              </w:r>
            </w:hyperlink>
          </w:p>
        </w:tc>
      </w:tr>
      <w:tr w:rsidR="00B817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</w:rPr>
              <w:t xml:space="preserve">Zhou H., Wu Z., Ma L., Wu W., Yang S. et al. </w:t>
            </w:r>
            <w:proofErr w:type="spellStart"/>
            <w:r>
              <w:rPr>
                <w:sz w:val="28"/>
                <w:szCs w:val="28"/>
              </w:rPr>
              <w:t>Assessing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immunologic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funct</w:t>
            </w:r>
            <w:r>
              <w:rPr>
                <w:sz w:val="28"/>
                <w:szCs w:val="28"/>
              </w:rPr>
              <w:t>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through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T-</w:t>
            </w:r>
            <w:proofErr w:type="spellStart"/>
            <w:r>
              <w:rPr>
                <w:sz w:val="28"/>
                <w:szCs w:val="28"/>
              </w:rPr>
              <w:t>lymphocyte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adenosine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triphosphate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levels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ImmuKnow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assay</w:t>
            </w:r>
            <w:proofErr w:type="spellEnd"/>
            <w:r>
              <w:rPr>
                <w:sz w:val="28"/>
                <w:szCs w:val="28"/>
              </w:rPr>
              <w:t xml:space="preserve"> in Chinese </w:t>
            </w:r>
            <w:proofErr w:type="spellStart"/>
            <w:r>
              <w:rPr>
                <w:sz w:val="28"/>
                <w:szCs w:val="28"/>
              </w:rPr>
              <w:t>patients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following</w:t>
            </w:r>
            <w:proofErr w:type="spellEnd"/>
            <w:r>
              <w:rPr>
                <w:sz w:val="28"/>
                <w:szCs w:val="28"/>
              </w:rPr>
              <w:t xml:space="preserve">  renal </w:t>
            </w:r>
            <w:proofErr w:type="spellStart"/>
            <w:r>
              <w:rPr>
                <w:sz w:val="28"/>
                <w:szCs w:val="28"/>
              </w:rPr>
              <w:t>transplantation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 xml:space="preserve">Transplant. </w:t>
            </w:r>
            <w:proofErr w:type="spellStart"/>
            <w:r>
              <w:rPr>
                <w:sz w:val="28"/>
                <w:szCs w:val="28"/>
              </w:rPr>
              <w:t>Proc</w:t>
            </w:r>
            <w:proofErr w:type="spellEnd"/>
            <w:r>
              <w:rPr>
                <w:sz w:val="28"/>
                <w:szCs w:val="28"/>
              </w:rPr>
              <w:t xml:space="preserve">. 2011, 43 (7), 2572578.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786" w:rsidRDefault="00EB652E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http://www.biomedsearch.com/nih/Assessing-Immunologic-Function-Through-CD4/219111</w:t>
            </w:r>
            <w:r>
              <w:rPr>
                <w:sz w:val="28"/>
                <w:szCs w:val="28"/>
                <w:lang w:val="en-US"/>
              </w:rPr>
              <w:t>25.html</w:t>
            </w:r>
          </w:p>
        </w:tc>
      </w:tr>
    </w:tbl>
    <w:p w:rsidR="00B81786" w:rsidRDefault="00B81786">
      <w:pPr>
        <w:pStyle w:val="Standard"/>
        <w:spacing w:line="360" w:lineRule="auto"/>
        <w:jc w:val="center"/>
      </w:pPr>
    </w:p>
    <w:sectPr w:rsidR="00B8178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2E" w:rsidRDefault="00EB652E">
      <w:r>
        <w:separator/>
      </w:r>
    </w:p>
  </w:endnote>
  <w:endnote w:type="continuationSeparator" w:id="0">
    <w:p w:rsidR="00EB652E" w:rsidRDefault="00EB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2E" w:rsidRDefault="00EB652E">
      <w:r>
        <w:rPr>
          <w:color w:val="000000"/>
        </w:rPr>
        <w:separator/>
      </w:r>
    </w:p>
  </w:footnote>
  <w:footnote w:type="continuationSeparator" w:id="0">
    <w:p w:rsidR="00EB652E" w:rsidRDefault="00EB6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1786"/>
    <w:rsid w:val="004A1599"/>
    <w:rsid w:val="00B81786"/>
    <w:rsid w:val="00E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rPr>
      <w:b/>
      <w:bCs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rPr>
      <w:b/>
      <w:bCs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127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229342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medsearch.com/nih/Lymphocyte-ATP-immune-cell-function/221728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author_items.asp?authorid=12768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2019-06-18T06:41:00Z</cp:lastPrinted>
  <dcterms:created xsi:type="dcterms:W3CDTF">2019-07-04T04:18:00Z</dcterms:created>
  <dcterms:modified xsi:type="dcterms:W3CDTF">2019-07-04T04:18:00Z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