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622"/>
        <w:gridCol w:w="3796"/>
        <w:gridCol w:w="3479"/>
        <w:gridCol w:w="6065"/>
      </w:tblGrid>
      <w:tr w:rsidR="00C811C0" w:rsidRPr="00C811C0" w:rsidTr="0072495D">
        <w:tc>
          <w:tcPr>
            <w:tcW w:w="426" w:type="dxa"/>
          </w:tcPr>
          <w:p w:rsidR="00C811C0" w:rsidRPr="0053250C" w:rsidRDefault="00C811C0" w:rsidP="00321083">
            <w:pPr>
              <w:pStyle w:val="a5"/>
              <w:spacing w:before="0" w:beforeAutospacing="0" w:after="0" w:afterAutospacing="0"/>
              <w:rPr>
                <w:color w:val="666666"/>
              </w:rPr>
            </w:pPr>
            <w:r w:rsidRPr="0053250C">
              <w:rPr>
                <w:rStyle w:val="a6"/>
                <w:color w:val="666666"/>
              </w:rPr>
              <w:t>Порядковый номер ссылки</w:t>
            </w:r>
          </w:p>
        </w:tc>
        <w:tc>
          <w:tcPr>
            <w:tcW w:w="4536" w:type="dxa"/>
          </w:tcPr>
          <w:p w:rsidR="00C811C0" w:rsidRPr="0053250C" w:rsidRDefault="00C811C0" w:rsidP="00321083">
            <w:pPr>
              <w:pStyle w:val="a5"/>
              <w:spacing w:before="0" w:beforeAutospacing="0" w:after="0" w:afterAutospacing="0"/>
              <w:rPr>
                <w:color w:val="666666"/>
              </w:rPr>
            </w:pPr>
            <w:r w:rsidRPr="0053250C">
              <w:rPr>
                <w:rStyle w:val="a6"/>
                <w:color w:val="666666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4678" w:type="dxa"/>
          </w:tcPr>
          <w:p w:rsidR="00C811C0" w:rsidRPr="0053250C" w:rsidRDefault="00C811C0" w:rsidP="00321083">
            <w:pPr>
              <w:pStyle w:val="a5"/>
              <w:spacing w:before="0" w:beforeAutospacing="0" w:after="0" w:afterAutospacing="0"/>
              <w:rPr>
                <w:color w:val="666666"/>
              </w:rPr>
            </w:pPr>
            <w:r w:rsidRPr="0053250C">
              <w:rPr>
                <w:rStyle w:val="a6"/>
                <w:color w:val="666666"/>
              </w:rPr>
              <w:t>ФИО, название публикации и источника на английском</w:t>
            </w:r>
          </w:p>
        </w:tc>
        <w:tc>
          <w:tcPr>
            <w:tcW w:w="4678" w:type="dxa"/>
          </w:tcPr>
          <w:p w:rsidR="00C811C0" w:rsidRPr="0053250C" w:rsidRDefault="00C811C0" w:rsidP="00321083">
            <w:pPr>
              <w:pStyle w:val="a5"/>
              <w:spacing w:before="0" w:beforeAutospacing="0" w:after="0" w:afterAutospacing="0"/>
              <w:rPr>
                <w:color w:val="666666"/>
              </w:rPr>
            </w:pPr>
            <w:r w:rsidRPr="0053250C">
              <w:rPr>
                <w:rStyle w:val="a6"/>
                <w:color w:val="666666"/>
              </w:rPr>
              <w:t xml:space="preserve">Полный интернет-адрес (URL) цитируемой статьи или ее </w:t>
            </w:r>
            <w:proofErr w:type="spellStart"/>
            <w:r w:rsidRPr="0053250C">
              <w:rPr>
                <w:rStyle w:val="a6"/>
                <w:color w:val="666666"/>
              </w:rPr>
              <w:t>doi</w:t>
            </w:r>
            <w:proofErr w:type="spellEnd"/>
            <w:r w:rsidRPr="0053250C">
              <w:rPr>
                <w:rStyle w:val="a6"/>
                <w:color w:val="666666"/>
              </w:rPr>
              <w:t>.</w:t>
            </w:r>
          </w:p>
        </w:tc>
      </w:tr>
      <w:tr w:rsidR="00C811C0" w:rsidRPr="00965563" w:rsidTr="0072495D">
        <w:tc>
          <w:tcPr>
            <w:tcW w:w="426" w:type="dxa"/>
          </w:tcPr>
          <w:p w:rsidR="00C811C0" w:rsidRPr="00C811C0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811C0" w:rsidRPr="00965563" w:rsidRDefault="004927F2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Адамчик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А.А., Быкова Н.И. Анализ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интерлейкинов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при хроническом апикальном периодонтите</w:t>
            </w:r>
            <w:r w:rsidR="00C811C0"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21083" w:rsidRPr="0053250C">
              <w:t>//</w:t>
            </w:r>
            <w:r w:rsidR="00C811C0"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Аллергология и иммунология.</w:t>
            </w:r>
            <w:r w:rsidR="00C811C0"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2016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.-Т.</w:t>
            </w:r>
            <w:r w:rsidR="00C811C0" w:rsidRPr="00965563">
              <w:rPr>
                <w:rFonts w:ascii="Times New Roman" w:hAnsi="Times New Roman" w:cs="Times New Roman"/>
                <w:sz w:val="28"/>
                <w:szCs w:val="28"/>
              </w:rPr>
              <w:t>17(4)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.-С.</w:t>
            </w:r>
            <w:r w:rsidR="00C811C0"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239-242.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Adamchik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Bykova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N.I. Analysis of interleukins in chronic apical periodontitis. </w:t>
            </w:r>
            <w:r w:rsidR="00321083" w:rsidRPr="00321083">
              <w:rPr>
                <w:lang w:val="en-US"/>
              </w:rPr>
              <w:t>//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Allergologija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immunologija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2016;17(4): 239-242.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811C0" w:rsidRPr="00965563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Алетдинова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С.М., Герасимова Л.П., Валеева Г.Р. Применение препарата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полиоксидоний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при лечении хронических апикальных периодонтитов в стадии обострения. </w:t>
            </w:r>
            <w:r w:rsidR="00321083" w:rsidRPr="0053250C">
              <w:t>//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Медицинский вестник Башкортостана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. 2012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.-Т.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7(6)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.-С.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29-32.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Aletdinova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S.M.,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Gerasimova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L.P.,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Valeeva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G.R. The use of the drug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polyoxidonium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treatment of chronic apical periodontitis in the acute stage. </w:t>
            </w:r>
            <w:r w:rsidR="00321083" w:rsidRPr="00321083">
              <w:rPr>
                <w:lang w:val="en-US"/>
              </w:rPr>
              <w:t>//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Medicinskij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vestnik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Bashkortostana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2012; 7(6): 29-32.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811C0" w:rsidRPr="00965563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Голдобин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Д.Д.,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Локтионов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А.Л., Лазарев А.И., Конопля Н.А. Коррекция системных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иммунометаболических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 при хроническом гранулирующем периодонтите в стадии обострения. </w:t>
            </w:r>
            <w:r w:rsidR="00321083" w:rsidRPr="0053250C">
              <w:t>//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Фундаментальные исследования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. 2015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.-Т.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.-С.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2038-2042.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Goldobin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D.D.,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Loktionov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A.L.,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Lazarev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A.I.,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Konoplja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N.A. Correction system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immunometabolic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disorders in chronic granulating periodontitis in the acute stage. </w:t>
            </w:r>
            <w:r w:rsidR="00321083" w:rsidRPr="00321083">
              <w:rPr>
                <w:lang w:val="en-US"/>
              </w:rPr>
              <w:t>//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Fundamental'nye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issledovanija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2015;</w:t>
            </w:r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10: 2038-2042.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811C0" w:rsidRPr="00ED33EC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Гриценко П.И., Петрук Н.С., Самойленко А.В.,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Твердохлеб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И.В. Клеточный состав и ультраструктура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периапикальной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грануляционной ткани при первичном и вторичном хроническом периодонтите.</w:t>
            </w:r>
            <w:r w:rsidR="00321083" w:rsidRPr="0053250C">
              <w:t xml:space="preserve"> //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Морфологiя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. 2014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.-Т.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8(2)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.-С.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14-19.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Gricenko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P.I.,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Petruk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N.S.,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Samojlenko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Tverdohleb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I.V. Cellular composition and ultrastructure of periapical granulation tissue in primary and secondary chronic periodontitis. </w:t>
            </w:r>
            <w:r w:rsidR="00321083" w:rsidRPr="00321083">
              <w:rPr>
                <w:lang w:val="en-US"/>
              </w:rPr>
              <w:t>//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Morfologija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2014; 8(2): 14-19.</w:t>
            </w:r>
          </w:p>
        </w:tc>
        <w:tc>
          <w:tcPr>
            <w:tcW w:w="4678" w:type="dxa"/>
          </w:tcPr>
          <w:p w:rsidR="00C811C0" w:rsidRPr="00965563" w:rsidRDefault="004927F2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http://nbuv.gov.ua/UJRN/Morphology_2014_8_2_4</w:t>
            </w:r>
          </w:p>
        </w:tc>
      </w:tr>
      <w:tr w:rsidR="00C811C0" w:rsidRPr="00965563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Днестранский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В.И. Особенности местного иммунитета при разных способах лечения хронического деструктивного периодонтита. </w:t>
            </w:r>
            <w:r w:rsidR="00321083" w:rsidRPr="0053250C">
              <w:t>//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Свiт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медицини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бiологii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. 2015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.-Т.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11(50)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.-С.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 29-35.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Dnestranskij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V.I. The peculiarities of local immunity in different methods of treatment of chronic destructive periodontitis. </w:t>
            </w:r>
            <w:r w:rsidR="00321083" w:rsidRPr="00321083">
              <w:rPr>
                <w:lang w:val="en-US"/>
              </w:rPr>
              <w:t>//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Svit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medicini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biologii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2015; 11(50):  29-35.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811C0" w:rsidRPr="00965563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Звонникова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Л.В., Георгиева О.А., </w:t>
            </w: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Нисанова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С.Е., Иванов Д.С. Использование современных антиоксидантов в комплексном лечении апикального периодонтита. </w:t>
            </w:r>
            <w:r w:rsidR="00321083" w:rsidRPr="0053250C">
              <w:t>//</w:t>
            </w:r>
            <w:proofErr w:type="spellStart"/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Эндодонтия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today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2008</w:t>
            </w:r>
            <w:r w:rsidR="00321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.-Т.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21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.-С.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85-87.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Zvonnikova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L.V.,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Georgieva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O.A.,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Nisanova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S.E.,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Ivanov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D.S. The use of modern antioxidants in the complex treatment of apical periodontitis. </w:t>
            </w:r>
            <w:r w:rsidR="00321083" w:rsidRPr="00321083">
              <w:rPr>
                <w:lang w:val="en-US"/>
              </w:rPr>
              <w:t>//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Jendodontija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today.</w:t>
            </w: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2008;1: 85-87.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811C0" w:rsidRPr="00965563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Карпунина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Т.А., Косолапова Е.Ю.  Мониторинг микробиологического пейзажа корневых каналов при лечении пациентов с хроническими формами апикального периодонтита. </w:t>
            </w:r>
            <w:r w:rsidR="00321083" w:rsidRPr="0053250C">
              <w:t>//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Уральский медицинский журнал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. 2008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.-Т.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.-С.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53-55.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Karpunina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T.A.,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Kosolapova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E.Ju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Monitoring the microbiological pattern of root canals in the treatment of patients with chronic forms of apical periodontitis. </w:t>
            </w:r>
            <w:r w:rsidR="00321083" w:rsidRPr="00321083">
              <w:rPr>
                <w:lang w:val="en-US"/>
              </w:rPr>
              <w:t>//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Ural'skij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medicinskij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zhurnal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2008; 10: 53-55.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811C0" w:rsidRPr="00965563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Когина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Э.Н., Герасимова Л.П.,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Кабирова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М.Ф.,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Саптарова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Л.М.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Цитокиновый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профиль ротовой жидкости у пациентов с хроническим апикальным периодонтитом зубов. </w:t>
            </w:r>
            <w:r w:rsidR="00321083" w:rsidRPr="0053250C">
              <w:t>//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Успехи современной науки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. 2016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.-Т.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 1(5)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.-С.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24-27.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Kogina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Je.N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Gerasimova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L.P.,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Kabirova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M.F.,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Saptarova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L.M. The cytokine profile of the oral fluid of patients with chronic apical periodontitis of the teeth.</w:t>
            </w:r>
            <w:r w:rsidR="00321083" w:rsidRPr="00321083">
              <w:rPr>
                <w:lang w:val="en-US"/>
              </w:rPr>
              <w:t xml:space="preserve"> //</w:t>
            </w: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Uspehi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sovremennoj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nauki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2016;  1(5): 24-27.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811C0" w:rsidRPr="00321083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Красникова О.П., Алферова Е.А., Олейник О.И. Мониторинг качества терапии пульпитов и периодонтитов молочных зубов у детей в ближайшие и отдаленные сроки. </w:t>
            </w:r>
            <w:r w:rsidR="00321083" w:rsidRPr="0053250C">
              <w:t>//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Молодой ученый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. 2016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.-Т.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3(107)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.-С.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276-279. 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Krasnikova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O.P.,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Alferova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E.A.,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Olejnik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O.I. Monitoring the quality of treatment of pulpitis and periodontitis of deciduous teeth in children in early and late periods. </w:t>
            </w:r>
            <w:r w:rsidR="00321083" w:rsidRPr="00321083">
              <w:rPr>
                <w:lang w:val="en-US"/>
              </w:rPr>
              <w:t>//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olodoj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uchenyj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2016; 3(107): 276-279. </w:t>
            </w:r>
          </w:p>
        </w:tc>
        <w:tc>
          <w:tcPr>
            <w:tcW w:w="4678" w:type="dxa"/>
          </w:tcPr>
          <w:p w:rsidR="00C811C0" w:rsidRPr="00321083" w:rsidRDefault="00321083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https://moluch.ru/archive/107/25717/ </w:t>
            </w:r>
          </w:p>
        </w:tc>
      </w:tr>
      <w:tr w:rsidR="00C811C0" w:rsidRPr="00965563" w:rsidTr="0072495D">
        <w:tc>
          <w:tcPr>
            <w:tcW w:w="426" w:type="dxa"/>
          </w:tcPr>
          <w:p w:rsidR="00C811C0" w:rsidRPr="0032108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Лукиных Л.М.,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Кокунова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А.С.,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Тиунова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Н.В. Оценка состояния местного иммунитета полости рта у пациентов с хроническим апикальным периодонтитом.</w:t>
            </w:r>
            <w:r w:rsidR="00321083" w:rsidRPr="0053250C">
              <w:t xml:space="preserve"> //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Эндодонтия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Today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. 2012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.-Т.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.-С.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60-64.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Lukinyh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L.M.,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Kokunova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A.S.,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Tiunova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N.V. Assessment of the status of local immunity of the oral cavity in patients with chronic apical periodontitis. </w:t>
            </w:r>
            <w:r w:rsidR="00321083" w:rsidRPr="00321083">
              <w:rPr>
                <w:lang w:val="en-US"/>
              </w:rPr>
              <w:t>//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Jendodontija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Today</w:t>
            </w: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2012; 4: 60-64.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811C0" w:rsidRPr="00965563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Рябоконь Е.Н.,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Днестранский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В.И.  Сравнительная оценка количественных показателей лизоцима и </w:t>
            </w:r>
            <w:proofErr w:type="gram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иммуноглобулина</w:t>
            </w:r>
            <w:proofErr w:type="gram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а при разных методах лечения хронического деструктивного периодонтита. </w:t>
            </w:r>
            <w:r w:rsidR="00321083" w:rsidRPr="0053250C">
              <w:t>//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Актуальні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проблеми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сучасної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медицини</w:t>
            </w:r>
            <w:proofErr w:type="spellEnd"/>
            <w:r w:rsidR="00321083">
              <w:rPr>
                <w:rFonts w:ascii="Times New Roman" w:hAnsi="Times New Roman" w:cs="Times New Roman"/>
                <w:i/>
                <w:sz w:val="28"/>
                <w:szCs w:val="28"/>
              </w:rPr>
              <w:t>.-С.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існик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української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медичної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стоматологічної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академії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. 2015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.-Т.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15(3-2)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.-С.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47-51.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Rjabokon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' E.N.,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Dnestranskij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V.I.  Comparative evaluation of quantitative indicators of lysozyme and immunoglobulin </w:t>
            </w:r>
            <w:proofErr w:type="gram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at</w:t>
            </w:r>
            <w:proofErr w:type="gram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different methods of treatment of chronic destructive periodontitis: </w:t>
            </w:r>
            <w:r w:rsidR="00321083" w:rsidRPr="00321083">
              <w:rPr>
                <w:lang w:val="en-US"/>
              </w:rPr>
              <w:t>//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і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snik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ukra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ї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ns'ko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ї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medichno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ї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stomatolog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і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chno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ї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akadem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ії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2015;15(3-2): 47-51.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811C0" w:rsidRPr="00ED33EC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Arowojolu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M.O., </w:t>
            </w: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Oladapo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O., </w:t>
            </w: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Opeodu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O.I., </w:t>
            </w: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Nwhator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S.O. </w:t>
            </w:r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An evaluation of the possible relationship between chronic periodontitis and hypertension. </w:t>
            </w:r>
            <w:r w:rsidR="00321083" w:rsidRPr="00321083">
              <w:rPr>
                <w:lang w:val="en-US"/>
              </w:rPr>
              <w:t>//</w:t>
            </w:r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J West </w:t>
            </w:r>
            <w:proofErr w:type="spellStart"/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Afr</w:t>
            </w:r>
            <w:proofErr w:type="spellEnd"/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Coll</w:t>
            </w:r>
            <w:proofErr w:type="spellEnd"/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Surg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2016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.-</w:t>
            </w:r>
            <w:r w:rsid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Vol.</w:t>
            </w:r>
            <w:r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6(2)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.-</w:t>
            </w:r>
            <w:r w:rsidR="00321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20-38.</w:t>
            </w:r>
          </w:p>
        </w:tc>
        <w:tc>
          <w:tcPr>
            <w:tcW w:w="4678" w:type="dxa"/>
          </w:tcPr>
          <w:p w:rsidR="00C811C0" w:rsidRPr="0032108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Arowojolu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M.O.,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Oladapo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Opeodu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O.I.,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Nwhator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S.O. An evaluation of the possible relationship between chronic periodontitis and hypertension. </w:t>
            </w:r>
            <w:r w:rsidR="00321083" w:rsidRPr="00321083">
              <w:rPr>
                <w:lang w:val="en-US"/>
              </w:rPr>
              <w:t>//</w:t>
            </w:r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 West </w:t>
            </w:r>
            <w:proofErr w:type="spellStart"/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Afr</w:t>
            </w:r>
            <w:proofErr w:type="spellEnd"/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Coll</w:t>
            </w:r>
            <w:proofErr w:type="spellEnd"/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Surg. 2016; 6(2): 20-38.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811C0" w:rsidRPr="00ED33EC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965563" w:rsidRDefault="00C811C0" w:rsidP="00ED33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Lavu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Venkatesan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Venugopal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</w:t>
            </w:r>
            <w:r w:rsidR="00ED33EC" w:rsidRPr="00ED33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ED33EC" w:rsidRPr="00ED33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Lakkakula</w:t>
            </w:r>
            <w:proofErr w:type="spellEnd"/>
            <w:r w:rsidR="00ED33EC" w:rsidRPr="00ED33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B.V., Paul S.F., </w:t>
            </w:r>
            <w:proofErr w:type="spellStart"/>
            <w:r w:rsidR="00ED33EC" w:rsidRPr="00ED33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Peria</w:t>
            </w:r>
            <w:proofErr w:type="spellEnd"/>
            <w:r w:rsidR="00ED33EC" w:rsidRPr="00ED33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="00ED33EC" w:rsidRPr="00ED33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Rao</w:t>
            </w:r>
            <w:proofErr w:type="spellEnd"/>
            <w:r w:rsidR="00ED33EC" w:rsidRPr="00ED33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S.R. </w:t>
            </w: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Clinical Relevance of Cytokines Gene Polymorphisms and Protein Levels in Gingival Cervical Fluid from Chronic Periodontitis Patients. </w:t>
            </w:r>
            <w:r w:rsidR="00321083" w:rsidRPr="00321083">
              <w:rPr>
                <w:lang w:val="en-US"/>
              </w:rPr>
              <w:t>//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Iran J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2017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.-</w:t>
            </w:r>
            <w:r w:rsid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Vol.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14(1)</w:t>
            </w:r>
            <w:r w:rsid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.-Р.</w:t>
            </w: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51-58.</w:t>
            </w:r>
          </w:p>
        </w:tc>
        <w:tc>
          <w:tcPr>
            <w:tcW w:w="4678" w:type="dxa"/>
          </w:tcPr>
          <w:p w:rsidR="00C811C0" w:rsidRPr="00ED33EC" w:rsidRDefault="00ED33EC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Lavu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Venkatesan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Venugopal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</w:t>
            </w:r>
            <w:r w:rsidRPr="00ED33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D33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Lakkakula</w:t>
            </w:r>
            <w:proofErr w:type="spellEnd"/>
            <w:r w:rsidRPr="00ED33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B.V., Paul S.F., </w:t>
            </w:r>
            <w:proofErr w:type="spellStart"/>
            <w:r w:rsidRPr="00ED33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Peria</w:t>
            </w:r>
            <w:proofErr w:type="spellEnd"/>
            <w:r w:rsidRPr="00ED33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ED33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Rao</w:t>
            </w:r>
            <w:proofErr w:type="spellEnd"/>
            <w:r w:rsidRPr="00ED33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S.R.</w:t>
            </w:r>
            <w:r w:rsidR="00C811C0"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Clinical Relevance of Cytokines Gene Polymorphisms and Protein Levels in Gingival Cervical Fluid from Chronic Periodontitis Patients.</w:t>
            </w:r>
            <w:r w:rsidR="00321083" w:rsidRPr="00321083">
              <w:rPr>
                <w:lang w:val="en-US"/>
              </w:rPr>
              <w:t xml:space="preserve"> //</w:t>
            </w:r>
            <w:r w:rsidR="00C811C0"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Iran J </w:t>
            </w:r>
            <w:proofErr w:type="spellStart"/>
            <w:r w:rsidR="00C811C0"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="00C811C0"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2017; 14(1): 51-58.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C811C0" w:rsidRPr="00965563" w:rsidRDefault="00321083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http://dx.doi.org/IJIv14i1A5</w:t>
            </w:r>
          </w:p>
        </w:tc>
      </w:tr>
      <w:tr w:rsidR="00C811C0" w:rsidRPr="00321083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Mistry A., Pereira R., </w:t>
            </w: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Kini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Padhye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A. </w:t>
            </w:r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Effect of Combined Therapy Using Diode Laser and Photodynamic Therapy on Levels of IL-17 in Gingival </w:t>
            </w:r>
            <w:proofErr w:type="spellStart"/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>Crevicular</w:t>
            </w:r>
            <w:proofErr w:type="spellEnd"/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 Fluid in Patients With Chronic Periodontitis.</w:t>
            </w:r>
            <w:r w:rsidR="00321083" w:rsidRPr="00321083">
              <w:rPr>
                <w:lang w:val="en-US"/>
              </w:rPr>
              <w:t xml:space="preserve"> //</w:t>
            </w:r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 </w:t>
            </w:r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J Lasers Med Sci. 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2016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.-</w:t>
            </w:r>
            <w:r w:rsid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Vol.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7(4)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.-</w:t>
            </w:r>
            <w:r w:rsidR="00321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250-255.</w:t>
            </w:r>
          </w:p>
        </w:tc>
        <w:tc>
          <w:tcPr>
            <w:tcW w:w="4678" w:type="dxa"/>
          </w:tcPr>
          <w:p w:rsidR="00C811C0" w:rsidRPr="0032108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Mistry A., Pereira R.,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Kini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Padhye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Effect of Combined Therapy Using Diode Laser and Photodynamic Therapy on Levels of IL-17 in Gingival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Crevicular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Fluid in Patients With Chronic Periodontitis.</w:t>
            </w:r>
            <w:r w:rsidR="00321083" w:rsidRPr="00321083">
              <w:rPr>
                <w:lang w:val="en-US"/>
              </w:rPr>
              <w:t xml:space="preserve"> //</w:t>
            </w: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 Lasers Med Sci. 2016; 7(4): 250-255.</w:t>
            </w:r>
          </w:p>
        </w:tc>
        <w:tc>
          <w:tcPr>
            <w:tcW w:w="4678" w:type="dxa"/>
          </w:tcPr>
          <w:p w:rsidR="00C811C0" w:rsidRPr="00965563" w:rsidRDefault="00321083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https://doi.org/10.22037/2010.v7i4.10826</w:t>
            </w:r>
          </w:p>
        </w:tc>
      </w:tr>
      <w:tr w:rsidR="00C811C0" w:rsidRPr="00965563" w:rsidTr="00321083">
        <w:trPr>
          <w:trHeight w:val="2392"/>
        </w:trPr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321083" w:rsidRPr="00965563" w:rsidRDefault="00C811C0" w:rsidP="00ED33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Sezer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U., </w:t>
            </w: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Üstün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Şenyurt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S.Z.</w:t>
            </w:r>
            <w:r w:rsidR="00ED33EC"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D33EC"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Altınbaş</w:t>
            </w:r>
            <w:proofErr w:type="spellEnd"/>
            <w:r w:rsidR="00ED33EC"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K.</w:t>
            </w:r>
            <w:r w:rsid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Erciyas</w:t>
            </w:r>
            <w:proofErr w:type="spellEnd"/>
            <w:r w:rsid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K</w:t>
            </w:r>
            <w:r w:rsidR="00ED33EC"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>Relationship between alexithymia and chronic periodontitis.</w:t>
            </w:r>
            <w:r w:rsidR="00321083" w:rsidRPr="00321083">
              <w:rPr>
                <w:lang w:val="en-US"/>
              </w:rPr>
              <w:t xml:space="preserve"> //</w:t>
            </w:r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 </w:t>
            </w:r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Niger J </w:t>
            </w:r>
            <w:proofErr w:type="spellStart"/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Clin</w:t>
            </w:r>
            <w:proofErr w:type="spellEnd"/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Pract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2017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.-</w:t>
            </w:r>
            <w:r w:rsid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Vol.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20(5)</w:t>
            </w:r>
            <w:r w:rsid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.-Р.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530-536.</w:t>
            </w:r>
          </w:p>
        </w:tc>
        <w:tc>
          <w:tcPr>
            <w:tcW w:w="4678" w:type="dxa"/>
          </w:tcPr>
          <w:p w:rsidR="00C811C0" w:rsidRPr="00965563" w:rsidRDefault="00ED33EC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Sezer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U., </w:t>
            </w: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Üstün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Şenyurt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S.Z.</w:t>
            </w:r>
            <w:r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Altınbaş</w:t>
            </w:r>
            <w:proofErr w:type="spellEnd"/>
            <w:r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K.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Erciyas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K</w:t>
            </w:r>
            <w:r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C811C0"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Relationship between alexithymia and chronic periodontitis. </w:t>
            </w:r>
            <w:r w:rsidR="00321083" w:rsidRPr="00321083">
              <w:rPr>
                <w:lang w:val="en-US"/>
              </w:rPr>
              <w:t>//</w:t>
            </w:r>
            <w:r w:rsidR="00C811C0"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Niger J </w:t>
            </w:r>
            <w:proofErr w:type="spellStart"/>
            <w:r w:rsidR="00C811C0"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</w:t>
            </w:r>
            <w:proofErr w:type="spellEnd"/>
            <w:r w:rsidR="00C811C0"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11C0"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Pract</w:t>
            </w:r>
            <w:proofErr w:type="spellEnd"/>
            <w:r w:rsidR="00C811C0"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2017; 20(5): 530-536.</w:t>
            </w:r>
          </w:p>
        </w:tc>
        <w:tc>
          <w:tcPr>
            <w:tcW w:w="4678" w:type="dxa"/>
          </w:tcPr>
          <w:p w:rsidR="00C811C0" w:rsidRPr="00965563" w:rsidRDefault="00321083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http://dx.doi.org/10.4103/1119-3077.183244</w:t>
            </w:r>
          </w:p>
        </w:tc>
      </w:tr>
      <w:tr w:rsidR="00C811C0" w:rsidRPr="00965563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321083" w:rsidRDefault="00C811C0" w:rsidP="00ED33EC">
            <w:pPr>
              <w:spacing w:after="0" w:line="360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Soeroso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Y., </w:t>
            </w: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Akase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Sunarto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H.</w:t>
            </w:r>
            <w:r w:rsidR="00ED33EC"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ED33EC"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Kemal Y., </w:t>
            </w:r>
            <w:proofErr w:type="spellStart"/>
            <w:r w:rsidR="00ED33EC"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Salim</w:t>
            </w:r>
            <w:proofErr w:type="spellEnd"/>
            <w:r w:rsidR="00ED33EC"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R., Octavia M., </w:t>
            </w:r>
            <w:proofErr w:type="spellStart"/>
            <w:r w:rsidR="00ED33EC"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Viandita</w:t>
            </w:r>
            <w:proofErr w:type="spellEnd"/>
            <w:r w:rsidR="00ED33EC"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="00ED33EC"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Setiawan</w:t>
            </w:r>
            <w:proofErr w:type="spellEnd"/>
            <w:r w:rsidR="00ED33EC"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="00ED33EC"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Bachtiar</w:t>
            </w:r>
            <w:proofErr w:type="spellEnd"/>
            <w:r w:rsidR="00ED33EC"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B.M.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The risk reduction of recurrent periodontal pathogens of local application minocycline </w:t>
            </w:r>
            <w:proofErr w:type="spellStart"/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>HCl</w:t>
            </w:r>
            <w:proofErr w:type="spellEnd"/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 2% gel, used as an adjunct to scaling and root </w:t>
            </w:r>
            <w:proofErr w:type="spellStart"/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>planing</w:t>
            </w:r>
            <w:proofErr w:type="spellEnd"/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 for chronic periodontitis treatment. </w:t>
            </w:r>
            <w:r w:rsidR="00321083" w:rsidRPr="00321083">
              <w:rPr>
                <w:lang w:val="en-US"/>
              </w:rPr>
              <w:t>//</w:t>
            </w:r>
            <w:proofErr w:type="spellStart"/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Ther</w:t>
            </w:r>
            <w:proofErr w:type="spellEnd"/>
            <w:r w:rsidRPr="0032108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Clin</w:t>
            </w:r>
            <w:proofErr w:type="spellEnd"/>
            <w:r w:rsidRPr="0032108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Risk</w:t>
            </w:r>
            <w:r w:rsidRPr="0032108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Manag</w:t>
            </w:r>
            <w:proofErr w:type="spellEnd"/>
            <w:r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2017</w:t>
            </w:r>
            <w:r w:rsid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.-N.</w:t>
            </w:r>
            <w:r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13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.-</w:t>
            </w:r>
            <w:r w:rsidR="00321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307-314.</w:t>
            </w:r>
          </w:p>
        </w:tc>
        <w:tc>
          <w:tcPr>
            <w:tcW w:w="4678" w:type="dxa"/>
          </w:tcPr>
          <w:p w:rsidR="00C811C0" w:rsidRPr="00965563" w:rsidRDefault="00ED33EC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Soeroso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Y., </w:t>
            </w: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Akase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Sunarto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H.</w:t>
            </w:r>
            <w:r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Kemal Y., </w:t>
            </w:r>
            <w:proofErr w:type="spellStart"/>
            <w:r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Salim</w:t>
            </w:r>
            <w:proofErr w:type="spellEnd"/>
            <w:r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R., Octavia M., </w:t>
            </w:r>
            <w:proofErr w:type="spellStart"/>
            <w:r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Viandita</w:t>
            </w:r>
            <w:proofErr w:type="spellEnd"/>
            <w:r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Setiawan</w:t>
            </w:r>
            <w:proofErr w:type="spellEnd"/>
            <w:r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Bachtiar</w:t>
            </w:r>
            <w:proofErr w:type="spellEnd"/>
            <w:r w:rsidRPr="00ED33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B.M.</w:t>
            </w:r>
            <w:bookmarkStart w:id="0" w:name="_GoBack"/>
            <w:bookmarkEnd w:id="0"/>
            <w:r w:rsidR="00C811C0"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The risk reduction of recurrent periodontal pathogens of local application minocycline </w:t>
            </w:r>
            <w:proofErr w:type="spellStart"/>
            <w:r w:rsidR="00C811C0"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  <w:proofErr w:type="spellEnd"/>
            <w:r w:rsidR="00C811C0"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2% gel, used as an adjunct to scaling and root </w:t>
            </w:r>
            <w:proofErr w:type="spellStart"/>
            <w:r w:rsidR="00C811C0"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planing</w:t>
            </w:r>
            <w:proofErr w:type="spellEnd"/>
            <w:r w:rsidR="00C811C0"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for chronic periodontitis treatment. </w:t>
            </w:r>
            <w:r w:rsidR="00321083" w:rsidRPr="00321083">
              <w:rPr>
                <w:lang w:val="en-US"/>
              </w:rPr>
              <w:t>//</w:t>
            </w:r>
            <w:proofErr w:type="spellStart"/>
            <w:r w:rsidR="00C811C0"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</w:t>
            </w:r>
            <w:proofErr w:type="spellEnd"/>
            <w:r w:rsidR="00C811C0"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11C0"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</w:t>
            </w:r>
            <w:proofErr w:type="spellEnd"/>
            <w:r w:rsidR="00C811C0"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Risk </w:t>
            </w:r>
            <w:proofErr w:type="spellStart"/>
            <w:r w:rsidR="00C811C0"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Manag</w:t>
            </w:r>
            <w:proofErr w:type="spellEnd"/>
            <w:r w:rsidR="00C811C0"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C811C0" w:rsidRPr="00965563">
              <w:rPr>
                <w:rFonts w:ascii="Times New Roman" w:hAnsi="Times New Roman" w:cs="Times New Roman"/>
                <w:sz w:val="28"/>
                <w:szCs w:val="28"/>
              </w:rPr>
              <w:t>2017; 13: 307-314.</w:t>
            </w:r>
          </w:p>
        </w:tc>
        <w:tc>
          <w:tcPr>
            <w:tcW w:w="4678" w:type="dxa"/>
          </w:tcPr>
          <w:p w:rsidR="00C811C0" w:rsidRPr="00321083" w:rsidRDefault="00321083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32108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321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</w:t>
            </w:r>
            <w:r w:rsidRPr="00321083">
              <w:rPr>
                <w:rFonts w:ascii="Times New Roman" w:hAnsi="Times New Roman" w:cs="Times New Roman"/>
                <w:sz w:val="28"/>
                <w:szCs w:val="28"/>
              </w:rPr>
              <w:t>/10.2147/</w:t>
            </w:r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TCRM</w:t>
            </w:r>
            <w:r w:rsidRPr="00321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21083">
              <w:rPr>
                <w:rFonts w:ascii="Times New Roman" w:hAnsi="Times New Roman" w:cs="Times New Roman"/>
                <w:sz w:val="28"/>
                <w:szCs w:val="28"/>
              </w:rPr>
              <w:t>130257</w:t>
            </w:r>
          </w:p>
        </w:tc>
      </w:tr>
    </w:tbl>
    <w:p w:rsidR="00E5257A" w:rsidRDefault="00E5257A" w:rsidP="00321083">
      <w:pPr>
        <w:spacing w:after="0"/>
      </w:pPr>
    </w:p>
    <w:sectPr w:rsidR="00E5257A" w:rsidSect="00C811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65FD7"/>
    <w:multiLevelType w:val="hybridMultilevel"/>
    <w:tmpl w:val="3CEC7938"/>
    <w:lvl w:ilvl="0" w:tplc="5E7645E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58"/>
    <w:rsid w:val="00087F58"/>
    <w:rsid w:val="00321083"/>
    <w:rsid w:val="0046328C"/>
    <w:rsid w:val="004927F2"/>
    <w:rsid w:val="00C811C0"/>
    <w:rsid w:val="00E5257A"/>
    <w:rsid w:val="00ED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C0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1C0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11C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8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811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C0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1C0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11C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8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811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User44</cp:lastModifiedBy>
  <cp:revision>4</cp:revision>
  <dcterms:created xsi:type="dcterms:W3CDTF">2019-07-03T16:19:00Z</dcterms:created>
  <dcterms:modified xsi:type="dcterms:W3CDTF">2019-09-24T06:29:00Z</dcterms:modified>
</cp:coreProperties>
</file>