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18" w:rsidRPr="00965563" w:rsidRDefault="00B92418" w:rsidP="00B92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BFFAAE" wp14:editId="6300C87D">
            <wp:extent cx="4603750" cy="2785745"/>
            <wp:effectExtent l="0" t="0" r="635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418" w:rsidRPr="00965563" w:rsidRDefault="00B92418" w:rsidP="00B92418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Рис. 1. Динамика лизоцима в </w:t>
      </w:r>
      <w:proofErr w:type="spellStart"/>
      <w:r w:rsidRPr="00965563">
        <w:rPr>
          <w:rFonts w:ascii="Times New Roman" w:hAnsi="Times New Roman" w:cs="Times New Roman"/>
          <w:sz w:val="28"/>
          <w:szCs w:val="28"/>
        </w:rPr>
        <w:t>десневой</w:t>
      </w:r>
      <w:proofErr w:type="spellEnd"/>
      <w:r w:rsidRPr="00965563">
        <w:rPr>
          <w:rFonts w:ascii="Times New Roman" w:hAnsi="Times New Roman" w:cs="Times New Roman"/>
          <w:sz w:val="28"/>
          <w:szCs w:val="28"/>
        </w:rPr>
        <w:t xml:space="preserve"> жидкости на фоне консервативной терапии детей с обострившимся ХГП в контроле (1) и основной группе (2).</w:t>
      </w:r>
    </w:p>
    <w:p w:rsidR="00B92418" w:rsidRPr="00965563" w:rsidRDefault="00B92418" w:rsidP="00B92418">
      <w:pPr>
        <w:spacing w:after="0" w:line="360" w:lineRule="auto"/>
        <w:ind w:left="993" w:firstLine="708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По оси абсцисс – дни наблюдения, по оси ординат – уровень лизоцима (мкг/л). </w:t>
      </w:r>
    </w:p>
    <w:p w:rsidR="00B92418" w:rsidRPr="00965563" w:rsidRDefault="00B92418" w:rsidP="00B92418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>А – до лечения, Б – 14 день наблюдения, В – 30 день наблюдения.</w:t>
      </w:r>
    </w:p>
    <w:p w:rsidR="00E5257A" w:rsidRDefault="00E5257A">
      <w:bookmarkStart w:id="0" w:name="_GoBack"/>
      <w:bookmarkEnd w:id="0"/>
    </w:p>
    <w:sectPr w:rsidR="00E5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D1"/>
    <w:rsid w:val="001730D1"/>
    <w:rsid w:val="0046328C"/>
    <w:rsid w:val="00B92418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3D444-5531-42C2-A007-A1CD7B3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1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2019-07-03T16:50:00Z</dcterms:created>
  <dcterms:modified xsi:type="dcterms:W3CDTF">2019-07-03T16:50:00Z</dcterms:modified>
</cp:coreProperties>
</file>