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D53" w:rsidRPr="007C3AD0" w:rsidRDefault="00E678B7" w:rsidP="00E678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AD0">
        <w:rPr>
          <w:rFonts w:ascii="Times New Roman" w:hAnsi="Times New Roman" w:cs="Times New Roman"/>
          <w:b/>
          <w:sz w:val="28"/>
          <w:szCs w:val="28"/>
        </w:rPr>
        <w:t>Список</w:t>
      </w:r>
      <w:r w:rsidRPr="007C3A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C3AD0">
        <w:rPr>
          <w:rFonts w:ascii="Times New Roman" w:hAnsi="Times New Roman" w:cs="Times New Roman"/>
          <w:b/>
          <w:sz w:val="28"/>
          <w:szCs w:val="28"/>
        </w:rPr>
        <w:t>литературы</w:t>
      </w:r>
      <w:r w:rsidRPr="007C3AD0">
        <w:t xml:space="preserve"> </w:t>
      </w:r>
      <w:r w:rsidRPr="007C3AD0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7C3AD0">
        <w:rPr>
          <w:rFonts w:ascii="Times New Roman" w:hAnsi="Times New Roman" w:cs="Times New Roman"/>
          <w:b/>
          <w:sz w:val="28"/>
          <w:szCs w:val="28"/>
        </w:rPr>
        <w:t>References</w:t>
      </w:r>
      <w:proofErr w:type="spellEnd"/>
    </w:p>
    <w:p w:rsidR="007C7D53" w:rsidRPr="007C3AD0" w:rsidRDefault="007C7D53" w:rsidP="00E67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09"/>
        <w:gridCol w:w="5474"/>
        <w:gridCol w:w="4111"/>
        <w:gridCol w:w="3366"/>
      </w:tblGrid>
      <w:tr w:rsidR="007C7D53" w:rsidRPr="007C3AD0" w:rsidTr="007C3AD0">
        <w:tc>
          <w:tcPr>
            <w:tcW w:w="1609" w:type="dxa"/>
          </w:tcPr>
          <w:p w:rsidR="007C7D53" w:rsidRPr="007C3AD0" w:rsidRDefault="00B324C7" w:rsidP="00B32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AD0">
              <w:rPr>
                <w:rFonts w:ascii="Times New Roman" w:hAnsi="Times New Roman" w:cs="Times New Roman"/>
                <w:b/>
                <w:sz w:val="28"/>
                <w:szCs w:val="28"/>
              </w:rPr>
              <w:t>Порядковый номер ссылки</w:t>
            </w:r>
          </w:p>
        </w:tc>
        <w:tc>
          <w:tcPr>
            <w:tcW w:w="5474" w:type="dxa"/>
          </w:tcPr>
          <w:p w:rsidR="007C7D53" w:rsidRPr="007C3AD0" w:rsidRDefault="00B324C7" w:rsidP="00B32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AD0">
              <w:rPr>
                <w:rFonts w:ascii="Times New Roman" w:hAnsi="Times New Roman" w:cs="Times New Roman"/>
                <w:b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4111" w:type="dxa"/>
          </w:tcPr>
          <w:p w:rsidR="007C7D53" w:rsidRPr="007C3AD0" w:rsidRDefault="00B324C7" w:rsidP="00B32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AD0">
              <w:rPr>
                <w:rFonts w:ascii="Times New Roman" w:hAnsi="Times New Roman" w:cs="Times New Roman"/>
                <w:b/>
                <w:sz w:val="28"/>
                <w:szCs w:val="28"/>
              </w:rPr>
              <w:t>Ф.И.О., название публикации и источника на английском языке</w:t>
            </w:r>
          </w:p>
        </w:tc>
        <w:tc>
          <w:tcPr>
            <w:tcW w:w="3366" w:type="dxa"/>
          </w:tcPr>
          <w:p w:rsidR="007C7D53" w:rsidRPr="007C3AD0" w:rsidRDefault="00B324C7" w:rsidP="00B32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AD0">
              <w:rPr>
                <w:rFonts w:ascii="Times New Roman" w:hAnsi="Times New Roman" w:cs="Times New Roman"/>
                <w:b/>
                <w:sz w:val="28"/>
                <w:szCs w:val="28"/>
              </w:rPr>
              <w:t>Полный интернет-адрес (URL) цитируемой статьи и/или ее DOI</w:t>
            </w:r>
          </w:p>
        </w:tc>
      </w:tr>
      <w:tr w:rsidR="00744633" w:rsidRPr="007C3AD0" w:rsidTr="007C3AD0">
        <w:tc>
          <w:tcPr>
            <w:tcW w:w="1609" w:type="dxa"/>
          </w:tcPr>
          <w:p w:rsidR="00744633" w:rsidRPr="007C3AD0" w:rsidRDefault="00744633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474" w:type="dxa"/>
          </w:tcPr>
          <w:p w:rsidR="00744633" w:rsidRPr="007C3AD0" w:rsidRDefault="00D772CC" w:rsidP="0035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</w:rPr>
              <w:t>Емельянчик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Е.Ю., Вольф Н.Г.,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</w:rPr>
              <w:t>Ваземиллер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О.А., Салмина А.Б.</w:t>
            </w: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2C0B"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Функциональное состояние эндотелия у больных </w:t>
            </w:r>
            <w:proofErr w:type="gramStart"/>
            <w:r w:rsidR="001D2C0B" w:rsidRPr="007C3AD0">
              <w:rPr>
                <w:rFonts w:ascii="Times New Roman" w:hAnsi="Times New Roman" w:cs="Times New Roman"/>
                <w:sz w:val="28"/>
                <w:szCs w:val="28"/>
              </w:rPr>
              <w:t>легочной артериальной гипертензией</w:t>
            </w:r>
            <w:proofErr w:type="gramEnd"/>
            <w:r w:rsidR="001D2C0B"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ассоциированной с врожденными пороками сердца // </w:t>
            </w:r>
            <w:r w:rsidR="001D2C0B" w:rsidRPr="007C3AD0">
              <w:rPr>
                <w:rFonts w:ascii="Times New Roman" w:hAnsi="Times New Roman" w:cs="Times New Roman"/>
                <w:sz w:val="28"/>
                <w:szCs w:val="28"/>
              </w:rPr>
              <w:t>Кардиология. 2017. Т. 57</w:t>
            </w:r>
            <w:r w:rsidR="001D2C0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1D2C0B"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№ 8. С. 40-46.</w:t>
            </w:r>
          </w:p>
        </w:tc>
        <w:tc>
          <w:tcPr>
            <w:tcW w:w="4111" w:type="dxa"/>
          </w:tcPr>
          <w:p w:rsidR="00744633" w:rsidRPr="007C3AD0" w:rsidRDefault="00744633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Emeryanchik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</w:t>
            </w:r>
            <w:r w:rsidR="00036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="00036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Vol'f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  <w:r w:rsidR="00036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036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Vesemiller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</w:t>
            </w:r>
            <w:r w:rsidR="00036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036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Salmina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="00036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 Functional state of vascular endothelium in patients with pulmonary arterial hypertension associated with congenital heart diseases</w:t>
            </w:r>
            <w:r w:rsidR="001D2C0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C</w:t>
            </w:r>
            <w:r w:rsidR="001D2C0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ardiology. 2017. </w:t>
            </w:r>
            <w:r w:rsidR="001D2C0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</w:t>
            </w:r>
            <w:r w:rsidR="001D2C0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57</w:t>
            </w:r>
            <w:r w:rsidR="001D2C0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no</w:t>
            </w:r>
            <w:r w:rsidR="001D2C0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8. </w:t>
            </w:r>
            <w:r w:rsidR="001D2C0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</w:t>
            </w:r>
            <w:r w:rsidR="001D2C0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40-46.</w:t>
            </w:r>
          </w:p>
        </w:tc>
        <w:tc>
          <w:tcPr>
            <w:tcW w:w="3366" w:type="dxa"/>
          </w:tcPr>
          <w:p w:rsidR="00AB1400" w:rsidRPr="007C3AD0" w:rsidRDefault="00AB1400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URL:</w:t>
            </w:r>
            <w:r w:rsidR="001D2C0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D2C0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https://elibrary.ru/item.asp?id=29876533</w:t>
            </w:r>
          </w:p>
          <w:p w:rsidR="00744633" w:rsidRPr="007C3AD0" w:rsidRDefault="00AB1400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10.18087/cardio.2017.8.10016]</w:t>
            </w:r>
          </w:p>
        </w:tc>
      </w:tr>
      <w:tr w:rsidR="0068582C" w:rsidRPr="007C3AD0" w:rsidTr="007C3AD0">
        <w:tc>
          <w:tcPr>
            <w:tcW w:w="1609" w:type="dxa"/>
          </w:tcPr>
          <w:p w:rsidR="0068582C" w:rsidRPr="007C3AD0" w:rsidRDefault="00744633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474" w:type="dxa"/>
          </w:tcPr>
          <w:p w:rsidR="0068582C" w:rsidRPr="007C3AD0" w:rsidRDefault="0068582C" w:rsidP="0035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</w:rPr>
              <w:t>Инжутова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А.И., Ларионов А.А., Петрова М.М, Салмина А.Б. Теория межклеточной коммуникации в развитии дисфункции эндотелия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//</w:t>
            </w: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Бюллетень экспериментальной биологии и медицины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</w:rPr>
              <w:t>. 2012.</w:t>
            </w: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>153(№ 2)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</w:rPr>
              <w:t>. С.</w:t>
            </w: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165-170 </w:t>
            </w:r>
          </w:p>
        </w:tc>
        <w:tc>
          <w:tcPr>
            <w:tcW w:w="4111" w:type="dxa"/>
          </w:tcPr>
          <w:p w:rsidR="0068582C" w:rsidRPr="007C3AD0" w:rsidRDefault="005F191B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Inzhutova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A.I., Larionov A.A.,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Petrova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M.M,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Salmina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A.B. The theory of intercellular communication in development of dysfunction of an endothelium. Bulletin of the experimental biology and medicine, 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2012, vol.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153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 2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pp. 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165-170</w:t>
            </w:r>
          </w:p>
        </w:tc>
        <w:tc>
          <w:tcPr>
            <w:tcW w:w="3366" w:type="dxa"/>
          </w:tcPr>
          <w:p w:rsidR="0068582C" w:rsidRPr="007C3AD0" w:rsidRDefault="00DA2074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URL: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https://elibrary.ru/item.asp?id=17287957</w:t>
            </w:r>
          </w:p>
        </w:tc>
      </w:tr>
      <w:tr w:rsidR="0068582C" w:rsidRPr="007C3AD0" w:rsidTr="007C3AD0">
        <w:tc>
          <w:tcPr>
            <w:tcW w:w="1609" w:type="dxa"/>
          </w:tcPr>
          <w:p w:rsidR="0068582C" w:rsidRPr="007C3AD0" w:rsidRDefault="00744633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474" w:type="dxa"/>
          </w:tcPr>
          <w:p w:rsidR="0068582C" w:rsidRPr="007C3AD0" w:rsidRDefault="0068582C" w:rsidP="0035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Петрова М.М., Салмина А.Б.,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</w:rPr>
              <w:t>Инжутова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А.И. Современные подходы к диагностике эндотелиальной дисфункции у больных гипертонической болезнью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//</w:t>
            </w: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Сибирское медицинское обозрение, 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2007. Т. </w:t>
            </w: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>4(45)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. С. </w:t>
            </w: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  <w:tc>
          <w:tcPr>
            <w:tcW w:w="4111" w:type="dxa"/>
          </w:tcPr>
          <w:p w:rsidR="0068582C" w:rsidRPr="007C3AD0" w:rsidRDefault="005F191B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Petrova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M.M.,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Salmina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A.B.,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Inzhutova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A.I. The modern approaches to diagnosis of endothelial dysfunction at patients with an idiopathic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hypertensia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Siberian medical review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2007,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4(45)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pp.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17-20.</w:t>
            </w:r>
          </w:p>
        </w:tc>
        <w:tc>
          <w:tcPr>
            <w:tcW w:w="3366" w:type="dxa"/>
          </w:tcPr>
          <w:p w:rsidR="0068582C" w:rsidRPr="007C3AD0" w:rsidRDefault="00DA2074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URL:</w:t>
            </w:r>
            <w:r w:rsidR="00256E94" w:rsidRPr="007C3AD0">
              <w:rPr>
                <w:lang w:val="en-US"/>
              </w:rPr>
              <w:t xml:space="preserve"> </w:t>
            </w:r>
            <w:hyperlink r:id="rId4" w:history="1">
              <w:r w:rsidR="00256E94" w:rsidRPr="007C3AD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https://elibrary.ru/item.asp?id=15609268</w:t>
              </w:r>
            </w:hyperlink>
          </w:p>
          <w:p w:rsidR="00256E94" w:rsidRPr="007C3AD0" w:rsidRDefault="00256E94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8582C" w:rsidRPr="007C3AD0" w:rsidTr="007C3AD0">
        <w:tc>
          <w:tcPr>
            <w:tcW w:w="1609" w:type="dxa"/>
          </w:tcPr>
          <w:p w:rsidR="0068582C" w:rsidRPr="007C3AD0" w:rsidRDefault="00AB1400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5474" w:type="dxa"/>
          </w:tcPr>
          <w:p w:rsidR="0068582C" w:rsidRPr="007C3AD0" w:rsidRDefault="0068582C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</w:rPr>
              <w:t>Харазов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А.Ф., Каляев А.О., Исаев А.А. Распространенность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</w:rPr>
              <w:t>симптомной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ишемии нижних конечностей в Российской Федерации</w:t>
            </w:r>
            <w:r w:rsidR="00E36086"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//</w:t>
            </w: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Хирургия. Журнал им. Н.И. Пирогова,</w:t>
            </w:r>
            <w:r w:rsidR="00E36086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36086" w:rsidRPr="007C3AD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6086"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6086"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>58-61</w:t>
            </w:r>
          </w:p>
        </w:tc>
        <w:tc>
          <w:tcPr>
            <w:tcW w:w="4111" w:type="dxa"/>
          </w:tcPr>
          <w:p w:rsidR="0068582C" w:rsidRPr="007C3AD0" w:rsidRDefault="00887AF4" w:rsidP="0035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Kharazov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A.F.,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Kalyaev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A.O.,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Isaev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 </w:t>
            </w:r>
            <w:r w:rsidR="0098359F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PAD prevalence in Russian Federation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Surgery. The magazine of N.I.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Pirogov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24156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vol. 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524156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pp.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58-</w:t>
            </w:r>
            <w:r w:rsidR="00556A7A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3366" w:type="dxa"/>
          </w:tcPr>
          <w:p w:rsidR="0068582C" w:rsidRPr="007C3AD0" w:rsidRDefault="00DA2074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URL:</w:t>
            </w:r>
            <w:r w:rsidR="00556A7A" w:rsidRPr="007C3AD0">
              <w:rPr>
                <w:lang w:val="en-US"/>
              </w:rPr>
              <w:t xml:space="preserve"> </w:t>
            </w:r>
            <w:hyperlink r:id="rId5" w:history="1">
              <w:r w:rsidR="00556A7A" w:rsidRPr="007C3AD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https://elibrary.ru/item.asp?id=26504453</w:t>
              </w:r>
            </w:hyperlink>
          </w:p>
          <w:p w:rsidR="00556A7A" w:rsidRPr="007C3AD0" w:rsidRDefault="00556A7A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10.17116/hirurgia2016758-61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68582C" w:rsidRPr="007C3AD0" w:rsidTr="007C3AD0">
        <w:tc>
          <w:tcPr>
            <w:tcW w:w="1609" w:type="dxa"/>
          </w:tcPr>
          <w:p w:rsidR="0068582C" w:rsidRPr="007C3AD0" w:rsidRDefault="00AB1400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474" w:type="dxa"/>
          </w:tcPr>
          <w:p w:rsidR="0068582C" w:rsidRPr="007C3AD0" w:rsidRDefault="0068582C" w:rsidP="0035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Шабров А.В., Апресян А.Г.,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</w:rPr>
              <w:t>Добкес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А.Л., Ермолов С.Ю., Ермолова Т.В.,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</w:rPr>
              <w:t>Манасян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С.Г., Сердюков С.В. Современные методы оценки эндотелиальной дисфункции и возможности их применения в практической медицине</w:t>
            </w:r>
            <w:r w:rsidR="00DD6AAC"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//</w:t>
            </w: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Рациональная фармакотерапия в кардиологии, </w:t>
            </w:r>
            <w:r w:rsidR="00DD6AAC" w:rsidRPr="007C3AD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D6AAC"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Т. </w:t>
            </w: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>12(6)</w:t>
            </w:r>
            <w:r w:rsidR="00256E94" w:rsidRPr="007C3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D6AAC"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 xml:space="preserve"> 733-742 </w:t>
            </w:r>
          </w:p>
        </w:tc>
        <w:tc>
          <w:tcPr>
            <w:tcW w:w="4111" w:type="dxa"/>
          </w:tcPr>
          <w:p w:rsidR="0068582C" w:rsidRPr="007C3AD0" w:rsidRDefault="00887AF4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Shabrov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A.V., Apresyan A.G.,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Dobkes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A.L.,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Ermolov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S.U.,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Ermolova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T.V.,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Manasyan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S.G., Serdyukov S.V. Current methods of endothelial dysfunction assessment and their possible use in the practical medicine. Rational pharmacotherapy in cardiology, </w:t>
            </w:r>
            <w:r w:rsidR="009D7579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vol. 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12(6)</w:t>
            </w:r>
            <w:r w:rsidR="009D7579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733-742. </w:t>
            </w:r>
          </w:p>
        </w:tc>
        <w:tc>
          <w:tcPr>
            <w:tcW w:w="3366" w:type="dxa"/>
          </w:tcPr>
          <w:p w:rsidR="0068582C" w:rsidRPr="007C3AD0" w:rsidRDefault="00DA2074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URL:</w:t>
            </w:r>
            <w:r w:rsidR="009D7579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6" w:history="1">
              <w:r w:rsidR="009D7579" w:rsidRPr="007C3AD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https://elibrary.ru/item.asp?id=28150507</w:t>
              </w:r>
            </w:hyperlink>
            <w:r w:rsidR="009D7579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5366E" w:rsidRPr="007C3AD0" w:rsidRDefault="0035366E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10.20996/1819-6446-2016-12-6-733-742]</w:t>
            </w:r>
          </w:p>
        </w:tc>
      </w:tr>
      <w:tr w:rsidR="0068582C" w:rsidRPr="007C3AD0" w:rsidTr="007C3AD0">
        <w:tc>
          <w:tcPr>
            <w:tcW w:w="1609" w:type="dxa"/>
          </w:tcPr>
          <w:p w:rsidR="0068582C" w:rsidRPr="007C3AD0" w:rsidRDefault="00AB1400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1" w:name="_Hlk1327179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474" w:type="dxa"/>
          </w:tcPr>
          <w:p w:rsidR="0068582C" w:rsidRPr="007C3AD0" w:rsidRDefault="0068582C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Beum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</w:t>
            </w:r>
            <w:r w:rsidR="00F03033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F03033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Lindorfer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</w:t>
            </w:r>
            <w:r w:rsidR="00F03033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F03033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Beurskens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</w:t>
            </w:r>
            <w:r w:rsidR="00F03033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Stukenberg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</w:t>
            </w:r>
            <w:r w:rsidR="00F03033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F03033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Lokhorst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</w:t>
            </w:r>
            <w:r w:rsidR="00F03033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F03033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Pawluczkowycz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</w:t>
            </w:r>
            <w:r w:rsidR="00F03033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="00F03033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Parren</w:t>
            </w:r>
            <w:proofErr w:type="spellEnd"/>
            <w:r w:rsidR="00BA0C9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P.W.,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van de Winkel, J</w:t>
            </w:r>
            <w:r w:rsidR="00BA0C9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BA0C9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Taylor R.P. Complement activation on B lymphocytes opsonized with rituximab or ofatumumab produces substantial changes in membrane structure preceding cell lysis. Journal of Immunology, </w:t>
            </w:r>
            <w:r w:rsidR="00BA0C9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  <w:r w:rsidR="00BA0C9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181(1)</w:t>
            </w:r>
            <w:r w:rsidR="00BA0C9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822-832. </w:t>
            </w:r>
          </w:p>
        </w:tc>
        <w:tc>
          <w:tcPr>
            <w:tcW w:w="4111" w:type="dxa"/>
          </w:tcPr>
          <w:p w:rsidR="0068582C" w:rsidRPr="007C3AD0" w:rsidRDefault="0068582C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:rsidR="0068582C" w:rsidRPr="007C3AD0" w:rsidRDefault="00DA2074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URL:</w:t>
            </w:r>
            <w:r w:rsidR="0035366E" w:rsidRPr="007C3AD0">
              <w:rPr>
                <w:lang w:val="en-US"/>
              </w:rPr>
              <w:t xml:space="preserve"> </w:t>
            </w:r>
            <w:r w:rsidR="0035366E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http://www.jimmunol.org/content/181/1/822.long</w:t>
            </w:r>
          </w:p>
          <w:p w:rsidR="0035366E" w:rsidRPr="007C3AD0" w:rsidRDefault="0035366E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10.4049/jimmunol.181.1.822]</w:t>
            </w:r>
          </w:p>
        </w:tc>
      </w:tr>
      <w:tr w:rsidR="0068582C" w:rsidRPr="007C3AD0" w:rsidTr="007C3AD0">
        <w:tc>
          <w:tcPr>
            <w:tcW w:w="1609" w:type="dxa"/>
          </w:tcPr>
          <w:p w:rsidR="0068582C" w:rsidRPr="007C3AD0" w:rsidRDefault="0068582C" w:rsidP="0035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74" w:type="dxa"/>
          </w:tcPr>
          <w:p w:rsidR="0068582C" w:rsidRPr="007C3AD0" w:rsidRDefault="0068582C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Gallino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Aboyans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Diehm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Cosentino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Stricker H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Falk E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Schouten O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Lekakis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Amann-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Vesti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Siclari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Poredos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Novo S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Brodmann M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Schulte K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Vlachopoulos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De Caterina R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Libby P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Baumgartner I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European Society of Cardiology Working Group on Peripheral Circulation. Non-coronary atherosclerosis. Eur Heart J.,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2014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vol. 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35(17)</w:t>
            </w:r>
            <w:r w:rsidR="003562F7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1112-9. </w:t>
            </w:r>
          </w:p>
        </w:tc>
        <w:tc>
          <w:tcPr>
            <w:tcW w:w="4111" w:type="dxa"/>
          </w:tcPr>
          <w:p w:rsidR="0068582C" w:rsidRPr="007C3AD0" w:rsidRDefault="00F03033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3366" w:type="dxa"/>
          </w:tcPr>
          <w:p w:rsidR="0068582C" w:rsidRPr="007C3AD0" w:rsidRDefault="00DA2074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URL:</w:t>
            </w:r>
            <w:r w:rsidR="00A80870" w:rsidRPr="007C3AD0">
              <w:rPr>
                <w:lang w:val="en-US"/>
              </w:rPr>
              <w:t xml:space="preserve"> </w:t>
            </w:r>
            <w:r w:rsidR="00A80870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https://academic.oup.com/eurheartj/article/35/17/1112/2466139</w:t>
            </w:r>
          </w:p>
          <w:p w:rsidR="00A80870" w:rsidRPr="007C3AD0" w:rsidRDefault="00A80870" w:rsidP="0035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[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10.1093/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eurheartj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/ehu071]</w:t>
            </w:r>
          </w:p>
        </w:tc>
      </w:tr>
      <w:bookmarkEnd w:id="1"/>
      <w:tr w:rsidR="0068582C" w:rsidRPr="007C3AD0" w:rsidTr="007C3AD0">
        <w:tc>
          <w:tcPr>
            <w:tcW w:w="1609" w:type="dxa"/>
          </w:tcPr>
          <w:p w:rsidR="0068582C" w:rsidRPr="007C3AD0" w:rsidRDefault="0068582C" w:rsidP="0035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474" w:type="dxa"/>
          </w:tcPr>
          <w:p w:rsidR="0068582C" w:rsidRPr="007C3AD0" w:rsidRDefault="0068582C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Igari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</w:t>
            </w:r>
            <w:r w:rsidR="00B3245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Kudo T</w:t>
            </w:r>
            <w:r w:rsidR="00B3245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Toyofuku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="00B3245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Inoue Y. The Relationship between Endothelial Dysfunction and Endothelial Cell Markers in Peripheral Arterial Disease.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PLoS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One</w:t>
            </w:r>
            <w:r w:rsidR="00B3245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2016</w:t>
            </w:r>
            <w:r w:rsidR="00B3245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3245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18</w:t>
            </w:r>
            <w:r w:rsidR="00B3245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 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11(11)</w:t>
            </w:r>
            <w:r w:rsidR="00B3245B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e0166840. </w:t>
            </w:r>
          </w:p>
        </w:tc>
        <w:tc>
          <w:tcPr>
            <w:tcW w:w="4111" w:type="dxa"/>
          </w:tcPr>
          <w:p w:rsidR="0068582C" w:rsidRPr="007C3AD0" w:rsidRDefault="00F03033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366" w:type="dxa"/>
          </w:tcPr>
          <w:p w:rsidR="0068582C" w:rsidRPr="007C3AD0" w:rsidRDefault="00DA2074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URL:</w:t>
            </w:r>
            <w:r w:rsidR="00BE4985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https://journals.plos.org/plosone/article?id=10.1371/journal.pone.0166840</w:t>
            </w:r>
          </w:p>
          <w:p w:rsidR="00BE4985" w:rsidRPr="007C3AD0" w:rsidRDefault="00BE4985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10.1371/journal.pone.0166840]</w:t>
            </w:r>
          </w:p>
        </w:tc>
      </w:tr>
      <w:tr w:rsidR="0068582C" w:rsidRPr="007C3AD0" w:rsidTr="007C3AD0">
        <w:tc>
          <w:tcPr>
            <w:tcW w:w="1609" w:type="dxa"/>
          </w:tcPr>
          <w:p w:rsidR="0068582C" w:rsidRPr="007C3AD0" w:rsidRDefault="0068582C" w:rsidP="0035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74" w:type="dxa"/>
          </w:tcPr>
          <w:p w:rsidR="0068582C" w:rsidRPr="007C3AD0" w:rsidRDefault="0068582C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Libby P. Inflammation in atherosclerosis.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Arterioscler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Thromb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Vasc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Biol</w:t>
            </w:r>
            <w:r w:rsidR="007034CE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C94975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94975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2012</w:t>
            </w:r>
            <w:r w:rsidR="00C94975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vol.</w:t>
            </w:r>
            <w:r w:rsidR="00C94975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32(9)</w:t>
            </w:r>
            <w:r w:rsidR="00C94975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2045-51. </w:t>
            </w:r>
          </w:p>
        </w:tc>
        <w:tc>
          <w:tcPr>
            <w:tcW w:w="4111" w:type="dxa"/>
          </w:tcPr>
          <w:p w:rsidR="0068582C" w:rsidRPr="007C3AD0" w:rsidRDefault="00565405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366" w:type="dxa"/>
          </w:tcPr>
          <w:p w:rsidR="00A8255A" w:rsidRPr="007C3AD0" w:rsidRDefault="00DA2074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URL:</w:t>
            </w:r>
            <w:r w:rsidR="00A8255A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https://www.ahajournals.org/doi/full/10.1161/ATVBAHA.108.179705?url_ver=Z39.88-2003&amp;rfr_id=ori:rid:crossref.org&amp;rfr_dat=cr_pub%3dpubmed</w:t>
            </w:r>
          </w:p>
          <w:p w:rsidR="00A8255A" w:rsidRPr="007C3AD0" w:rsidRDefault="00A8255A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10.1161/ATVBAHA.108.179705]</w:t>
            </w:r>
          </w:p>
        </w:tc>
      </w:tr>
      <w:tr w:rsidR="0068582C" w:rsidRPr="007C3AD0" w:rsidTr="007C3AD0">
        <w:tc>
          <w:tcPr>
            <w:tcW w:w="1609" w:type="dxa"/>
          </w:tcPr>
          <w:p w:rsidR="0068582C" w:rsidRPr="007C3AD0" w:rsidRDefault="0068582C" w:rsidP="0035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74" w:type="dxa"/>
          </w:tcPr>
          <w:p w:rsidR="0068582C" w:rsidRPr="007C3AD0" w:rsidRDefault="0068582C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 H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Daugherty A. Atherosclerosis.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Arterioscler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Thromb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Vasc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Biol., 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vol.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35(3)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485-91. </w:t>
            </w:r>
          </w:p>
        </w:tc>
        <w:tc>
          <w:tcPr>
            <w:tcW w:w="4111" w:type="dxa"/>
          </w:tcPr>
          <w:p w:rsidR="0068582C" w:rsidRPr="007C3AD0" w:rsidRDefault="000B25DF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366" w:type="dxa"/>
          </w:tcPr>
          <w:p w:rsidR="0068582C" w:rsidRPr="007C3AD0" w:rsidRDefault="00DA2074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URL:</w:t>
            </w:r>
            <w:r w:rsidR="000B25DF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https://www.ahajournals.org/doi/full/10.1161/ATVBAHA.115.305380?url_ver=Z39.88-</w:t>
            </w:r>
            <w:r w:rsidR="000B25DF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2003&amp;rfr_id=ori%3Arid%3Acrossref.org&amp;rfr_dat=cr_pub%3Dpubmed</w:t>
            </w:r>
          </w:p>
          <w:p w:rsidR="000B25DF" w:rsidRPr="007C3AD0" w:rsidRDefault="000B25DF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10.1161/ATVBAHA.115.305380]</w:t>
            </w:r>
          </w:p>
        </w:tc>
      </w:tr>
      <w:tr w:rsidR="0068582C" w:rsidRPr="007C3AD0" w:rsidTr="007C3AD0">
        <w:tc>
          <w:tcPr>
            <w:tcW w:w="1609" w:type="dxa"/>
          </w:tcPr>
          <w:p w:rsidR="0068582C" w:rsidRPr="007C3AD0" w:rsidRDefault="0068582C" w:rsidP="0035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474" w:type="dxa"/>
          </w:tcPr>
          <w:p w:rsidR="0068582C" w:rsidRPr="007C3AD0" w:rsidRDefault="0068582C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Martinez M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Tesse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Zobairi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Andriantsitohaina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 Shed membrane microparticles from circulating and vascular cells in regulating vascular function. American Journal of Physiology-Heart and Circulatory Physiology,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288(3)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1004-1009. </w:t>
            </w:r>
          </w:p>
        </w:tc>
        <w:tc>
          <w:tcPr>
            <w:tcW w:w="4111" w:type="dxa"/>
          </w:tcPr>
          <w:p w:rsidR="0068582C" w:rsidRPr="007C3AD0" w:rsidRDefault="00D97FA6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366" w:type="dxa"/>
          </w:tcPr>
          <w:p w:rsidR="0068582C" w:rsidRPr="007C3AD0" w:rsidRDefault="00DA2074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URL:</w:t>
            </w:r>
            <w:r w:rsidR="00D97FA6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D97FA6" w:rsidRPr="007C3AD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https://www.physiology.org/doi/full/10.1152/ajpheart.00842.2004?url_ver=Z39.88-2003&amp;rfr_id=ori%3Arid%3Acrossref.org&amp;rfr_dat=cr_pub%3Dpubmed&amp;</w:t>
              </w:r>
            </w:hyperlink>
            <w:r w:rsidR="00D97FA6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A2074" w:rsidRPr="007C3AD0" w:rsidRDefault="00D97FA6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="00DA2074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10.1152/ajpheart.00842.2004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68582C" w:rsidTr="007C3AD0">
        <w:tc>
          <w:tcPr>
            <w:tcW w:w="1609" w:type="dxa"/>
          </w:tcPr>
          <w:p w:rsidR="0068582C" w:rsidRPr="007C3AD0" w:rsidRDefault="0068582C" w:rsidP="00356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74" w:type="dxa"/>
          </w:tcPr>
          <w:p w:rsidR="0068582C" w:rsidRPr="007C3AD0" w:rsidRDefault="0068582C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Suades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Padró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Alonso R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López-Miranda J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Mata P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Badimon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 Circulating CD45+/CD3+ lymphocyte-derived microparticles map lipid-rich atherosclerotic plaques in familial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hypercholesterolaemia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patients.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Thromb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Haemost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2014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</w:rPr>
              <w:t>, v</w:t>
            </w:r>
            <w:proofErr w:type="spellStart"/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</w:t>
            </w:r>
            <w:proofErr w:type="spellEnd"/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111(1)</w:t>
            </w:r>
            <w:r w:rsidR="00973438"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111-21. </w:t>
            </w:r>
          </w:p>
        </w:tc>
        <w:tc>
          <w:tcPr>
            <w:tcW w:w="4111" w:type="dxa"/>
          </w:tcPr>
          <w:p w:rsidR="0068582C" w:rsidRPr="007C3AD0" w:rsidRDefault="00DA2074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366" w:type="dxa"/>
          </w:tcPr>
          <w:p w:rsidR="00DA2074" w:rsidRPr="007C3AD0" w:rsidRDefault="00DA2074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URL: https://www.thieme-connect.com/products/ejournals/abstract/10.1160/TH13-07-0612</w:t>
            </w:r>
          </w:p>
          <w:p w:rsidR="0068582C" w:rsidRPr="00DA2074" w:rsidRDefault="00DA2074" w:rsidP="003562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7C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10.1160/TH13-07-0612]</w:t>
            </w:r>
          </w:p>
        </w:tc>
      </w:tr>
    </w:tbl>
    <w:p w:rsidR="0068582C" w:rsidRDefault="0068582C" w:rsidP="00AB1400">
      <w:pPr>
        <w:jc w:val="both"/>
        <w:rPr>
          <w:lang w:val="en-US"/>
        </w:rPr>
      </w:pPr>
    </w:p>
    <w:sectPr w:rsidR="0068582C" w:rsidSect="007C7D53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B7"/>
    <w:rsid w:val="00036632"/>
    <w:rsid w:val="00046576"/>
    <w:rsid w:val="00094AC9"/>
    <w:rsid w:val="000B25DF"/>
    <w:rsid w:val="000B4119"/>
    <w:rsid w:val="001D2C0B"/>
    <w:rsid w:val="002415FE"/>
    <w:rsid w:val="00256E94"/>
    <w:rsid w:val="003056F5"/>
    <w:rsid w:val="00315109"/>
    <w:rsid w:val="00325535"/>
    <w:rsid w:val="0035094C"/>
    <w:rsid w:val="0035366E"/>
    <w:rsid w:val="003562F7"/>
    <w:rsid w:val="00390975"/>
    <w:rsid w:val="00416391"/>
    <w:rsid w:val="00473756"/>
    <w:rsid w:val="00524156"/>
    <w:rsid w:val="00552BEB"/>
    <w:rsid w:val="00556A7A"/>
    <w:rsid w:val="00565405"/>
    <w:rsid w:val="005866A9"/>
    <w:rsid w:val="0059546D"/>
    <w:rsid w:val="005F191B"/>
    <w:rsid w:val="0068582C"/>
    <w:rsid w:val="006D63E0"/>
    <w:rsid w:val="006E495D"/>
    <w:rsid w:val="007034CE"/>
    <w:rsid w:val="00744633"/>
    <w:rsid w:val="007C3AD0"/>
    <w:rsid w:val="007C7D53"/>
    <w:rsid w:val="00887AF4"/>
    <w:rsid w:val="00913BF4"/>
    <w:rsid w:val="00973438"/>
    <w:rsid w:val="0098359F"/>
    <w:rsid w:val="009B06F9"/>
    <w:rsid w:val="009D7579"/>
    <w:rsid w:val="00A652FC"/>
    <w:rsid w:val="00A67C6A"/>
    <w:rsid w:val="00A80870"/>
    <w:rsid w:val="00A8255A"/>
    <w:rsid w:val="00AA2D8C"/>
    <w:rsid w:val="00AB1400"/>
    <w:rsid w:val="00AF566C"/>
    <w:rsid w:val="00B21B4B"/>
    <w:rsid w:val="00B3245B"/>
    <w:rsid w:val="00B324C7"/>
    <w:rsid w:val="00B44032"/>
    <w:rsid w:val="00B619BF"/>
    <w:rsid w:val="00BA0C9B"/>
    <w:rsid w:val="00BE4985"/>
    <w:rsid w:val="00C078D8"/>
    <w:rsid w:val="00C94975"/>
    <w:rsid w:val="00D772CC"/>
    <w:rsid w:val="00D92D34"/>
    <w:rsid w:val="00D97FA6"/>
    <w:rsid w:val="00DA2074"/>
    <w:rsid w:val="00DD6AAC"/>
    <w:rsid w:val="00E15CFC"/>
    <w:rsid w:val="00E17CF5"/>
    <w:rsid w:val="00E36086"/>
    <w:rsid w:val="00E678B7"/>
    <w:rsid w:val="00ED241D"/>
    <w:rsid w:val="00F0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6071"/>
  <w15:chartTrackingRefBased/>
  <w15:docId w15:val="{BEB1AD1E-DEED-4C6A-B68C-0A6964C6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7FA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97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hysiology.org/doi/full/10.1152/ajpheart.00842.2004?url_ver=Z39.88-2003&amp;rfr_id=ori%3Arid%3Acrossref.org&amp;rfr_dat=cr_pub%3Dpubmed&amp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brary.ru/item.asp?id=28150507" TargetMode="External"/><Relationship Id="rId5" Type="http://schemas.openxmlformats.org/officeDocument/2006/relationships/hyperlink" Target="https://elibrary.ru/item.asp?id=26504453" TargetMode="External"/><Relationship Id="rId4" Type="http://schemas.openxmlformats.org/officeDocument/2006/relationships/hyperlink" Target="https://elibrary.ru/item.asp?id=1560926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50</cp:revision>
  <dcterms:created xsi:type="dcterms:W3CDTF">2019-02-17T08:03:00Z</dcterms:created>
  <dcterms:modified xsi:type="dcterms:W3CDTF">2019-02-17T21:37:00Z</dcterms:modified>
</cp:coreProperties>
</file>