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24" w:rsidRPr="005B23F4" w:rsidRDefault="00AC7324" w:rsidP="00AC732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B23F4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B23E8B" w:rsidRDefault="00AC7324" w:rsidP="001805F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были обнаружены ассоциации антител</w:t>
      </w:r>
      <w:r w:rsidR="00B23E8B">
        <w:rPr>
          <w:rFonts w:ascii="Times New Roman" w:hAnsi="Times New Roman" w:cs="Times New Roman"/>
          <w:sz w:val="28"/>
          <w:szCs w:val="28"/>
        </w:rPr>
        <w:t xml:space="preserve"> классов А и </w:t>
      </w:r>
      <w:r w:rsidR="00B23E8B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, специфичных к бенз</w:t>
      </w:r>
      <w:proofErr w:type="gramStart"/>
      <w:r>
        <w:rPr>
          <w:rFonts w:ascii="Times New Roman" w:hAnsi="Times New Roman" w:cs="Times New Roman"/>
          <w:sz w:val="28"/>
          <w:szCs w:val="28"/>
        </w:rPr>
        <w:t>о[</w:t>
      </w:r>
      <w:proofErr w:type="gramEnd"/>
      <w:r>
        <w:rPr>
          <w:rFonts w:ascii="Times New Roman" w:hAnsi="Times New Roman" w:cs="Times New Roman"/>
          <w:sz w:val="28"/>
          <w:szCs w:val="28"/>
        </w:rPr>
        <w:t>а]пирену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), эстрадиолу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A0591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прогестерону </w:t>
      </w:r>
      <w:r w:rsidRPr="00A0591D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A0591D">
        <w:rPr>
          <w:rFonts w:ascii="Times New Roman" w:hAnsi="Times New Roman" w:cs="Times New Roman"/>
          <w:sz w:val="28"/>
          <w:szCs w:val="28"/>
        </w:rPr>
        <w:t>)</w:t>
      </w:r>
      <w:r w:rsidR="00B23E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раком молочной железы (РМЖ) у женщин в постменопаузе. </w:t>
      </w:r>
      <w:r w:rsidR="00B23E8B">
        <w:rPr>
          <w:rFonts w:ascii="Times New Roman" w:hAnsi="Times New Roman" w:cs="Times New Roman"/>
          <w:sz w:val="28"/>
          <w:szCs w:val="28"/>
        </w:rPr>
        <w:t xml:space="preserve">Индивидуальные соотношения </w:t>
      </w:r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B23E8B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B23E8B" w:rsidRPr="00687F1F">
        <w:rPr>
          <w:rFonts w:ascii="Times New Roman" w:hAnsi="Times New Roman" w:cs="Times New Roman"/>
          <w:sz w:val="28"/>
          <w:szCs w:val="28"/>
        </w:rPr>
        <w:t>/</w:t>
      </w:r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B23E8B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23E8B">
        <w:rPr>
          <w:rFonts w:ascii="Times New Roman" w:hAnsi="Times New Roman" w:cs="Times New Roman"/>
          <w:sz w:val="28"/>
          <w:szCs w:val="28"/>
        </w:rPr>
        <w:t xml:space="preserve">, </w:t>
      </w:r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23E8B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B23E8B" w:rsidRPr="00687F1F">
        <w:rPr>
          <w:rFonts w:ascii="Times New Roman" w:hAnsi="Times New Roman" w:cs="Times New Roman"/>
          <w:sz w:val="28"/>
          <w:szCs w:val="28"/>
        </w:rPr>
        <w:t>/</w:t>
      </w:r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23E8B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23E8B">
        <w:rPr>
          <w:rFonts w:ascii="Times New Roman" w:hAnsi="Times New Roman" w:cs="Times New Roman"/>
          <w:sz w:val="28"/>
          <w:szCs w:val="28"/>
        </w:rPr>
        <w:t xml:space="preserve">, </w:t>
      </w:r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23E8B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23E8B" w:rsidRPr="00687F1F">
        <w:rPr>
          <w:rFonts w:ascii="Times New Roman" w:hAnsi="Times New Roman" w:cs="Times New Roman"/>
          <w:sz w:val="28"/>
          <w:szCs w:val="28"/>
        </w:rPr>
        <w:t>/</w:t>
      </w:r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23E8B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23E8B"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B23E8B">
        <w:rPr>
          <w:rFonts w:ascii="Times New Roman" w:hAnsi="Times New Roman" w:cs="Times New Roman"/>
          <w:sz w:val="28"/>
          <w:szCs w:val="28"/>
        </w:rPr>
        <w:t xml:space="preserve">и </w:t>
      </w:r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23E8B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23E8B" w:rsidRPr="00687F1F">
        <w:rPr>
          <w:rFonts w:ascii="Times New Roman" w:hAnsi="Times New Roman" w:cs="Times New Roman"/>
          <w:sz w:val="28"/>
          <w:szCs w:val="28"/>
        </w:rPr>
        <w:t>/</w:t>
      </w:r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23E8B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23E8B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23E8B"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B23E8B">
        <w:rPr>
          <w:rFonts w:ascii="Times New Roman" w:hAnsi="Times New Roman" w:cs="Times New Roman"/>
          <w:sz w:val="28"/>
          <w:szCs w:val="28"/>
        </w:rPr>
        <w:t xml:space="preserve">также были взаимосвязаны с риском возникновения РМЖ. </w:t>
      </w:r>
      <w:r>
        <w:rPr>
          <w:rFonts w:ascii="Times New Roman" w:hAnsi="Times New Roman" w:cs="Times New Roman"/>
          <w:sz w:val="28"/>
          <w:szCs w:val="28"/>
        </w:rPr>
        <w:t>Предположи</w:t>
      </w:r>
      <w:r w:rsidR="00BC5693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, что образование антител к химическим канцерогенам и стероидным гормонам обусловлено генетическим полиморфизмом цитокинов.</w:t>
      </w:r>
      <w:r w:rsidR="001805FC" w:rsidRPr="00180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8B" w:rsidRDefault="00AC7324" w:rsidP="001805F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 – выявить предпол</w:t>
      </w:r>
      <w:r w:rsidR="00BC5693">
        <w:rPr>
          <w:rFonts w:ascii="Times New Roman" w:hAnsi="Times New Roman" w:cs="Times New Roman"/>
          <w:sz w:val="28"/>
          <w:szCs w:val="28"/>
        </w:rPr>
        <w:t>агаем</w:t>
      </w:r>
      <w:r>
        <w:rPr>
          <w:rFonts w:ascii="Times New Roman" w:hAnsi="Times New Roman" w:cs="Times New Roman"/>
          <w:sz w:val="28"/>
          <w:szCs w:val="28"/>
        </w:rPr>
        <w:t xml:space="preserve">ые ассоциации антител 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690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690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69089E">
        <w:rPr>
          <w:rFonts w:ascii="Times New Roman" w:hAnsi="Times New Roman" w:cs="Times New Roman"/>
          <w:sz w:val="28"/>
          <w:szCs w:val="28"/>
        </w:rPr>
        <w:t xml:space="preserve"> </w:t>
      </w:r>
      <w:r w:rsidR="00B23E8B">
        <w:rPr>
          <w:rFonts w:ascii="Times New Roman" w:hAnsi="Times New Roman" w:cs="Times New Roman"/>
          <w:sz w:val="28"/>
          <w:szCs w:val="28"/>
        </w:rPr>
        <w:t>и их индивидуальных соотношений с полиморф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23E8B">
        <w:rPr>
          <w:rFonts w:ascii="Times New Roman" w:hAnsi="Times New Roman" w:cs="Times New Roman"/>
          <w:sz w:val="28"/>
          <w:szCs w:val="28"/>
        </w:rPr>
        <w:t xml:space="preserve">змом в </w:t>
      </w:r>
      <w:r>
        <w:rPr>
          <w:rFonts w:ascii="Times New Roman" w:hAnsi="Times New Roman" w:cs="Times New Roman"/>
          <w:sz w:val="28"/>
          <w:szCs w:val="28"/>
        </w:rPr>
        <w:t>ген</w:t>
      </w:r>
      <w:r w:rsidR="00B23E8B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EC4" w:rsidRPr="007D14D6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F72EC4" w:rsidRPr="007D14D6">
        <w:rPr>
          <w:rFonts w:ascii="Times New Roman" w:hAnsi="Times New Roman" w:cs="Times New Roman"/>
          <w:i/>
          <w:sz w:val="28"/>
          <w:szCs w:val="28"/>
        </w:rPr>
        <w:t>1</w:t>
      </w:r>
      <w:r w:rsidR="00F72EC4" w:rsidRPr="007D14D6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="00F72E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2EC4" w:rsidRPr="008169D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72EC4" w:rsidRPr="008169D8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F72EC4" w:rsidRPr="008169D8">
        <w:rPr>
          <w:rFonts w:ascii="Times New Roman" w:hAnsi="Times New Roman" w:cs="Times New Roman"/>
          <w:sz w:val="28"/>
          <w:szCs w:val="28"/>
        </w:rPr>
        <w:t>4251961)</w:t>
      </w:r>
      <w:r w:rsidR="00F72EC4" w:rsidRPr="008169D8">
        <w:rPr>
          <w:rFonts w:ascii="Times New Roman" w:hAnsi="Times New Roman" w:cs="Times New Roman"/>
          <w:i/>
          <w:sz w:val="28"/>
          <w:szCs w:val="28"/>
        </w:rPr>
        <w:t>,</w:t>
      </w:r>
      <w:r w:rsidR="00F72EC4" w:rsidRPr="007D14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2EC4" w:rsidRPr="007D14D6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F72EC4" w:rsidRPr="007D14D6">
        <w:rPr>
          <w:rFonts w:ascii="Times New Roman" w:hAnsi="Times New Roman" w:cs="Times New Roman"/>
          <w:i/>
          <w:sz w:val="28"/>
          <w:szCs w:val="28"/>
        </w:rPr>
        <w:t>1</w:t>
      </w:r>
      <w:r w:rsidR="00F72EC4" w:rsidRPr="007D14D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F72E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2EC4" w:rsidRPr="008169D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72EC4" w:rsidRPr="008169D8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F72EC4" w:rsidRPr="008169D8">
        <w:rPr>
          <w:rFonts w:ascii="Times New Roman" w:hAnsi="Times New Roman" w:cs="Times New Roman"/>
          <w:sz w:val="28"/>
          <w:szCs w:val="28"/>
        </w:rPr>
        <w:t>16944)</w:t>
      </w:r>
      <w:r w:rsidR="00F72EC4" w:rsidRPr="008169D8">
        <w:rPr>
          <w:rFonts w:ascii="Times New Roman" w:hAnsi="Times New Roman" w:cs="Times New Roman"/>
          <w:i/>
          <w:sz w:val="28"/>
          <w:szCs w:val="28"/>
        </w:rPr>
        <w:t>,</w:t>
      </w:r>
      <w:r w:rsidR="00F72EC4" w:rsidRPr="007D14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2EC4" w:rsidRPr="007D14D6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F72EC4" w:rsidRPr="007D14D6">
        <w:rPr>
          <w:rFonts w:ascii="Times New Roman" w:hAnsi="Times New Roman" w:cs="Times New Roman"/>
          <w:i/>
          <w:sz w:val="28"/>
          <w:szCs w:val="28"/>
        </w:rPr>
        <w:t>6</w:t>
      </w:r>
      <w:r w:rsidR="00F72E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2EC4" w:rsidRPr="008169D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F72EC4" w:rsidRPr="008169D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="00F72EC4" w:rsidRPr="008169D8">
        <w:rPr>
          <w:rFonts w:ascii="Times New Roman" w:eastAsia="Calibri" w:hAnsi="Times New Roman" w:cs="Times New Roman"/>
          <w:sz w:val="28"/>
          <w:szCs w:val="28"/>
        </w:rPr>
        <w:t>1800795</w:t>
      </w:r>
      <w:r w:rsidR="003B6C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3B6C33" w:rsidRPr="008169D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="003B6C33" w:rsidRPr="008169D8">
        <w:rPr>
          <w:rFonts w:ascii="Times New Roman" w:eastAsia="Calibri" w:hAnsi="Times New Roman" w:cs="Times New Roman"/>
          <w:sz w:val="28"/>
          <w:szCs w:val="28"/>
        </w:rPr>
        <w:t>180079</w:t>
      </w:r>
      <w:r w:rsidR="003B6C33">
        <w:rPr>
          <w:rFonts w:ascii="Times New Roman" w:eastAsia="Calibri" w:hAnsi="Times New Roman" w:cs="Times New Roman"/>
          <w:sz w:val="28"/>
          <w:szCs w:val="28"/>
        </w:rPr>
        <w:t>6</w:t>
      </w:r>
      <w:r w:rsidR="003B6C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F72EC4" w:rsidRPr="008169D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="00F72EC4" w:rsidRPr="008169D8">
        <w:rPr>
          <w:rFonts w:ascii="Times New Roman" w:eastAsia="Calibri" w:hAnsi="Times New Roman" w:cs="Times New Roman"/>
          <w:sz w:val="28"/>
          <w:szCs w:val="28"/>
        </w:rPr>
        <w:t>1554606),</w:t>
      </w:r>
      <w:r w:rsidR="00F72EC4">
        <w:rPr>
          <w:rFonts w:eastAsia="Calibri"/>
          <w:b/>
          <w:sz w:val="28"/>
          <w:szCs w:val="28"/>
        </w:rPr>
        <w:t xml:space="preserve"> </w:t>
      </w:r>
      <w:r w:rsidR="00F72EC4" w:rsidRPr="007D14D6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F72EC4" w:rsidRPr="007D14D6">
        <w:rPr>
          <w:rFonts w:ascii="Times New Roman" w:hAnsi="Times New Roman" w:cs="Times New Roman"/>
          <w:i/>
          <w:sz w:val="28"/>
          <w:szCs w:val="28"/>
        </w:rPr>
        <w:t>8</w:t>
      </w:r>
      <w:r w:rsidR="00F72E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2E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72EC4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F72EC4" w:rsidRPr="008169D8">
        <w:rPr>
          <w:rFonts w:ascii="Times New Roman" w:hAnsi="Times New Roman" w:cs="Times New Roman"/>
          <w:sz w:val="28"/>
          <w:szCs w:val="28"/>
        </w:rPr>
        <w:t>4073</w:t>
      </w:r>
      <w:r w:rsidR="00F72EC4">
        <w:rPr>
          <w:rFonts w:ascii="Times New Roman" w:hAnsi="Times New Roman" w:cs="Times New Roman"/>
          <w:sz w:val="28"/>
          <w:szCs w:val="28"/>
        </w:rPr>
        <w:t>)</w:t>
      </w:r>
      <w:r w:rsidR="00F72EC4" w:rsidRPr="007D14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72EC4" w:rsidRPr="007D14D6">
        <w:rPr>
          <w:rFonts w:ascii="Times New Roman" w:hAnsi="Times New Roman" w:cs="Times New Roman"/>
          <w:i/>
          <w:sz w:val="28"/>
          <w:szCs w:val="28"/>
          <w:lang w:val="en-US"/>
        </w:rPr>
        <w:t>TNF</w:t>
      </w:r>
      <w:r w:rsidR="00F72EC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72EC4" w:rsidRPr="008169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2EC4" w:rsidRPr="008169D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F72EC4" w:rsidRPr="008169D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="00F72EC4" w:rsidRPr="008169D8">
        <w:rPr>
          <w:rFonts w:ascii="Times New Roman" w:eastAsia="Calibri" w:hAnsi="Times New Roman" w:cs="Times New Roman"/>
          <w:sz w:val="28"/>
          <w:szCs w:val="28"/>
        </w:rPr>
        <w:t>1800629)</w:t>
      </w:r>
      <w:r w:rsidR="00F72EC4" w:rsidRPr="00F72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72EC4" w:rsidRPr="007D14D6">
        <w:rPr>
          <w:rFonts w:ascii="Times New Roman" w:hAnsi="Times New Roman" w:cs="Times New Roman"/>
          <w:i/>
          <w:sz w:val="28"/>
          <w:szCs w:val="28"/>
        </w:rPr>
        <w:t>CD</w:t>
      </w:r>
      <w:r w:rsidR="00F72EC4">
        <w:rPr>
          <w:rFonts w:ascii="Times New Roman" w:hAnsi="Times New Roman" w:cs="Times New Roman"/>
          <w:i/>
          <w:sz w:val="28"/>
          <w:szCs w:val="28"/>
        </w:rPr>
        <w:t>4</w:t>
      </w:r>
      <w:r w:rsidR="00F72EC4" w:rsidRPr="008169D8">
        <w:rPr>
          <w:rFonts w:ascii="Times New Roman" w:hAnsi="Times New Roman" w:cs="Times New Roman"/>
          <w:i/>
          <w:sz w:val="28"/>
          <w:szCs w:val="28"/>
        </w:rPr>
        <w:t xml:space="preserve">0 </w:t>
      </w:r>
      <w:r w:rsidR="00F72EC4" w:rsidRPr="008169D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F72EC4" w:rsidRPr="008169D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="00F72EC4" w:rsidRPr="008169D8">
        <w:rPr>
          <w:rFonts w:ascii="Times New Roman" w:eastAsia="Calibri" w:hAnsi="Times New Roman" w:cs="Times New Roman"/>
          <w:sz w:val="28"/>
          <w:szCs w:val="28"/>
        </w:rPr>
        <w:t>6074022)</w:t>
      </w:r>
      <w:r w:rsidR="00F72EC4" w:rsidRPr="00FB0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здоровых женщин и больных РМЖ в постменопаузе.</w:t>
      </w:r>
      <w:r w:rsidR="001805FC" w:rsidRPr="00180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543" w:rsidRDefault="00AC7324" w:rsidP="001805F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Исследовали сывороточные антитела классов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3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30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690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690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9E7F84" w:rsidRPr="009E7F84">
        <w:rPr>
          <w:rFonts w:ascii="Times New Roman" w:hAnsi="Times New Roman" w:cs="Times New Roman"/>
          <w:sz w:val="28"/>
          <w:szCs w:val="28"/>
        </w:rPr>
        <w:t xml:space="preserve"> 470 </w:t>
      </w:r>
      <w:r>
        <w:rPr>
          <w:rFonts w:ascii="Times New Roman" w:hAnsi="Times New Roman" w:cs="Times New Roman"/>
          <w:sz w:val="28"/>
          <w:szCs w:val="28"/>
        </w:rPr>
        <w:t xml:space="preserve">здоровых женщин и </w:t>
      </w:r>
      <w:r w:rsidR="009E7F84">
        <w:rPr>
          <w:rFonts w:ascii="Times New Roman" w:hAnsi="Times New Roman" w:cs="Times New Roman"/>
          <w:sz w:val="28"/>
          <w:szCs w:val="28"/>
        </w:rPr>
        <w:t>995</w:t>
      </w:r>
      <w:r w:rsidR="009E7F84" w:rsidRPr="009E7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больных РМЖ с помощью неконкурентного </w:t>
      </w:r>
      <w:r w:rsidR="00B2477A">
        <w:rPr>
          <w:rFonts w:ascii="Times New Roman" w:hAnsi="Times New Roman" w:cs="Times New Roman"/>
          <w:sz w:val="28"/>
          <w:szCs w:val="28"/>
        </w:rPr>
        <w:t>твердофазного</w:t>
      </w:r>
      <w:r w:rsidR="00B24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иммуноферментного анализа. </w:t>
      </w:r>
      <w:r w:rsidR="00DD5543">
        <w:rPr>
          <w:rFonts w:ascii="Times New Roman" w:hAnsi="Times New Roman" w:cs="Times New Roman"/>
          <w:sz w:val="28"/>
          <w:szCs w:val="28"/>
        </w:rPr>
        <w:t xml:space="preserve">В качестве адсорбированных на пластике антигенов использовали </w:t>
      </w:r>
      <w:proofErr w:type="spellStart"/>
      <w:r w:rsidR="00DD5543">
        <w:rPr>
          <w:rFonts w:ascii="Times New Roman" w:hAnsi="Times New Roman" w:cs="Times New Roman"/>
          <w:sz w:val="28"/>
          <w:szCs w:val="28"/>
        </w:rPr>
        <w:t>конъюгаты</w:t>
      </w:r>
      <w:proofErr w:type="spellEnd"/>
      <w:r w:rsidR="00DD5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543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DD55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54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DD5543" w:rsidRPr="00DD5543">
        <w:rPr>
          <w:rFonts w:ascii="Times New Roman" w:hAnsi="Times New Roman" w:cs="Times New Roman"/>
          <w:sz w:val="28"/>
          <w:szCs w:val="28"/>
        </w:rPr>
        <w:t xml:space="preserve"> </w:t>
      </w:r>
      <w:r w:rsidR="00DD554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D554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DD5543">
        <w:rPr>
          <w:rFonts w:ascii="Times New Roman" w:hAnsi="Times New Roman" w:cs="Times New Roman"/>
          <w:sz w:val="28"/>
          <w:szCs w:val="28"/>
        </w:rPr>
        <w:t xml:space="preserve"> с бычьим сывороточным альбумином. Для выявления связавшихся с </w:t>
      </w:r>
      <w:proofErr w:type="spellStart"/>
      <w:r w:rsidR="00DD5543">
        <w:rPr>
          <w:rFonts w:ascii="Times New Roman" w:hAnsi="Times New Roman" w:cs="Times New Roman"/>
          <w:sz w:val="28"/>
          <w:szCs w:val="28"/>
        </w:rPr>
        <w:t>гаптенами</w:t>
      </w:r>
      <w:proofErr w:type="spellEnd"/>
      <w:r w:rsidR="00DD5543">
        <w:rPr>
          <w:rFonts w:ascii="Times New Roman" w:hAnsi="Times New Roman" w:cs="Times New Roman"/>
          <w:sz w:val="28"/>
          <w:szCs w:val="28"/>
        </w:rPr>
        <w:t xml:space="preserve"> антител использовали меченные </w:t>
      </w:r>
      <w:proofErr w:type="spellStart"/>
      <w:r w:rsidR="00DD5543">
        <w:rPr>
          <w:rFonts w:ascii="Times New Roman" w:hAnsi="Times New Roman" w:cs="Times New Roman"/>
          <w:sz w:val="28"/>
          <w:szCs w:val="28"/>
        </w:rPr>
        <w:t>пероксидазой</w:t>
      </w:r>
      <w:proofErr w:type="spellEnd"/>
      <w:r w:rsidR="00DD5543">
        <w:rPr>
          <w:rFonts w:ascii="Times New Roman" w:hAnsi="Times New Roman" w:cs="Times New Roman"/>
          <w:sz w:val="28"/>
          <w:szCs w:val="28"/>
        </w:rPr>
        <w:t xml:space="preserve"> хрена козьи </w:t>
      </w:r>
      <w:r w:rsidR="00DD5543">
        <w:rPr>
          <w:rFonts w:ascii="Times New Roman" w:hAnsi="Times New Roman" w:cs="Times New Roman"/>
          <w:sz w:val="28"/>
          <w:szCs w:val="28"/>
        </w:rPr>
        <w:t>антител</w:t>
      </w:r>
      <w:r w:rsidR="00DD5543">
        <w:rPr>
          <w:rFonts w:ascii="Times New Roman" w:hAnsi="Times New Roman" w:cs="Times New Roman"/>
          <w:sz w:val="28"/>
          <w:szCs w:val="28"/>
        </w:rPr>
        <w:t xml:space="preserve">а против </w:t>
      </w:r>
      <w:r w:rsidR="00DD5543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DD5543" w:rsidRPr="00DD5543">
        <w:rPr>
          <w:rFonts w:ascii="Times New Roman" w:hAnsi="Times New Roman" w:cs="Times New Roman"/>
          <w:sz w:val="28"/>
          <w:szCs w:val="28"/>
        </w:rPr>
        <w:t xml:space="preserve"> </w:t>
      </w:r>
      <w:r w:rsidR="00DD5543">
        <w:rPr>
          <w:rFonts w:ascii="Times New Roman" w:hAnsi="Times New Roman" w:cs="Times New Roman"/>
          <w:sz w:val="28"/>
          <w:szCs w:val="28"/>
        </w:rPr>
        <w:t xml:space="preserve">и </w:t>
      </w:r>
      <w:r w:rsidR="00DD5543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DD5543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Pr="00F517CA">
        <w:rPr>
          <w:rFonts w:ascii="Times New Roman" w:hAnsi="Times New Roman" w:cs="Times New Roman"/>
          <w:sz w:val="28"/>
          <w:szCs w:val="28"/>
        </w:rPr>
        <w:t>Генетические полиморфизмы цитокинов исследовали с помощью ПЦР</w:t>
      </w:r>
      <w:r w:rsidR="00F517CA">
        <w:rPr>
          <w:rFonts w:ascii="Times New Roman" w:hAnsi="Times New Roman" w:cs="Times New Roman"/>
          <w:sz w:val="28"/>
          <w:szCs w:val="28"/>
        </w:rPr>
        <w:t xml:space="preserve"> в режиме реального времени</w:t>
      </w:r>
      <w:r w:rsidRPr="00F517CA">
        <w:rPr>
          <w:rFonts w:ascii="Times New Roman" w:hAnsi="Times New Roman" w:cs="Times New Roman"/>
          <w:sz w:val="28"/>
          <w:szCs w:val="28"/>
        </w:rPr>
        <w:t>.</w:t>
      </w:r>
      <w:r w:rsidR="001805FC" w:rsidRPr="00180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EC9" w:rsidRDefault="00AC7324" w:rsidP="001805FC">
      <w:pPr>
        <w:tabs>
          <w:tab w:val="left" w:pos="70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87F1F">
        <w:rPr>
          <w:rFonts w:ascii="Times New Roman" w:hAnsi="Times New Roman" w:cs="Times New Roman"/>
          <w:sz w:val="28"/>
          <w:szCs w:val="28"/>
        </w:rPr>
        <w:t xml:space="preserve">У здоровых женщин обнаружены ассоциации </w:t>
      </w:r>
      <w:r w:rsidR="00F82C88">
        <w:rPr>
          <w:rFonts w:ascii="Times New Roman" w:hAnsi="Times New Roman" w:cs="Times New Roman"/>
          <w:sz w:val="28"/>
          <w:szCs w:val="28"/>
        </w:rPr>
        <w:t xml:space="preserve">исследуемых антител и их соотношений с </w:t>
      </w:r>
      <w:r w:rsidR="00F517CA">
        <w:rPr>
          <w:rFonts w:ascii="Times New Roman" w:hAnsi="Times New Roman" w:cs="Times New Roman"/>
          <w:sz w:val="28"/>
          <w:szCs w:val="28"/>
        </w:rPr>
        <w:t>полиморфизм</w:t>
      </w:r>
      <w:r w:rsidR="00F82C88">
        <w:rPr>
          <w:rFonts w:ascii="Times New Roman" w:hAnsi="Times New Roman" w:cs="Times New Roman"/>
          <w:sz w:val="28"/>
          <w:szCs w:val="28"/>
        </w:rPr>
        <w:t xml:space="preserve">ом в генах </w:t>
      </w:r>
      <w:r w:rsidRPr="00687F1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687F1F">
        <w:rPr>
          <w:rFonts w:ascii="Times New Roman" w:hAnsi="Times New Roman" w:cs="Times New Roman"/>
          <w:i/>
          <w:sz w:val="28"/>
          <w:szCs w:val="28"/>
        </w:rPr>
        <w:t>1</w:t>
      </w:r>
      <w:r w:rsidRPr="00687F1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F517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517CA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F517CA">
        <w:rPr>
          <w:rFonts w:ascii="Times New Roman" w:hAnsi="Times New Roman" w:cs="Times New Roman"/>
          <w:sz w:val="28"/>
          <w:szCs w:val="28"/>
        </w:rPr>
        <w:t>4251961)</w:t>
      </w:r>
      <w:r w:rsidR="00F82C88">
        <w:rPr>
          <w:rFonts w:ascii="Times New Roman" w:hAnsi="Times New Roman" w:cs="Times New Roman"/>
          <w:sz w:val="28"/>
          <w:szCs w:val="28"/>
        </w:rPr>
        <w:t xml:space="preserve">, </w:t>
      </w:r>
      <w:r w:rsidR="00F517CA">
        <w:rPr>
          <w:rFonts w:ascii="Times New Roman" w:hAnsi="Times New Roman" w:cs="Times New Roman"/>
          <w:sz w:val="28"/>
          <w:szCs w:val="28"/>
        </w:rPr>
        <w:t xml:space="preserve"> </w:t>
      </w:r>
      <w:r w:rsidR="00F82C88" w:rsidRPr="00687F1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F82C88" w:rsidRPr="00687F1F">
        <w:rPr>
          <w:rFonts w:ascii="Times New Roman" w:hAnsi="Times New Roman" w:cs="Times New Roman"/>
          <w:i/>
          <w:sz w:val="28"/>
          <w:szCs w:val="28"/>
        </w:rPr>
        <w:t>6</w:t>
      </w:r>
      <w:r w:rsidR="00F82C88" w:rsidRPr="00687F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F82C88" w:rsidRPr="00687F1F">
        <w:rPr>
          <w:rFonts w:ascii="Times New Roman" w:hAnsi="Times New Roman" w:cs="Times New Roman"/>
          <w:sz w:val="28"/>
          <w:szCs w:val="28"/>
        </w:rPr>
        <w:t>1800795)</w:t>
      </w:r>
      <w:r w:rsidR="00F82C88">
        <w:rPr>
          <w:rFonts w:ascii="Times New Roman" w:hAnsi="Times New Roman" w:cs="Times New Roman"/>
          <w:sz w:val="28"/>
          <w:szCs w:val="28"/>
        </w:rPr>
        <w:t>,</w:t>
      </w:r>
      <w:r w:rsidR="00F82C88"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F82C88" w:rsidRPr="00687F1F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="00F82C88"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F82C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F82C88">
        <w:rPr>
          <w:rFonts w:ascii="Times New Roman" w:hAnsi="Times New Roman" w:cs="Times New Roman"/>
          <w:sz w:val="28"/>
          <w:szCs w:val="28"/>
        </w:rPr>
        <w:t>1800629)</w:t>
      </w:r>
      <w:r w:rsidR="00F82C88"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F82C88">
        <w:rPr>
          <w:rFonts w:ascii="Times New Roman" w:hAnsi="Times New Roman" w:cs="Times New Roman"/>
          <w:sz w:val="28"/>
          <w:szCs w:val="28"/>
        </w:rPr>
        <w:t xml:space="preserve">и </w:t>
      </w:r>
      <w:r w:rsidR="00F82C88" w:rsidRPr="00687F1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F82C88" w:rsidRPr="00687F1F">
        <w:rPr>
          <w:rFonts w:ascii="Times New Roman" w:hAnsi="Times New Roman" w:cs="Times New Roman"/>
          <w:i/>
          <w:sz w:val="28"/>
          <w:szCs w:val="28"/>
        </w:rPr>
        <w:t>40</w:t>
      </w:r>
      <w:r w:rsidR="00F82C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2C88" w:rsidRPr="00F82C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82C88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F82C88">
        <w:rPr>
          <w:rFonts w:ascii="Times New Roman" w:hAnsi="Times New Roman" w:cs="Times New Roman"/>
          <w:sz w:val="28"/>
          <w:szCs w:val="28"/>
        </w:rPr>
        <w:t xml:space="preserve">6074022). </w:t>
      </w:r>
      <w:r w:rsidR="00F517CA">
        <w:rPr>
          <w:rFonts w:ascii="Times New Roman" w:hAnsi="Times New Roman" w:cs="Times New Roman"/>
          <w:sz w:val="28"/>
          <w:szCs w:val="28"/>
        </w:rPr>
        <w:t xml:space="preserve">Высокие значения </w:t>
      </w:r>
      <w:r w:rsidR="00F82C88" w:rsidRPr="00687F1F">
        <w:rPr>
          <w:rFonts w:ascii="Times New Roman" w:hAnsi="Times New Roman" w:cs="Times New Roman"/>
          <w:sz w:val="28"/>
          <w:szCs w:val="28"/>
        </w:rPr>
        <w:t>индивидуальны</w:t>
      </w:r>
      <w:r w:rsidR="00F82C88">
        <w:rPr>
          <w:rFonts w:ascii="Times New Roman" w:hAnsi="Times New Roman" w:cs="Times New Roman"/>
          <w:sz w:val="28"/>
          <w:szCs w:val="28"/>
        </w:rPr>
        <w:t>х</w:t>
      </w:r>
      <w:r w:rsidR="00F82C88" w:rsidRPr="00687F1F">
        <w:rPr>
          <w:rFonts w:ascii="Times New Roman" w:hAnsi="Times New Roman" w:cs="Times New Roman"/>
          <w:sz w:val="28"/>
          <w:szCs w:val="28"/>
        </w:rPr>
        <w:t xml:space="preserve"> соотношени</w:t>
      </w:r>
      <w:r w:rsidR="00F82C88">
        <w:rPr>
          <w:rFonts w:ascii="Times New Roman" w:hAnsi="Times New Roman" w:cs="Times New Roman"/>
          <w:sz w:val="28"/>
          <w:szCs w:val="28"/>
        </w:rPr>
        <w:t>й</w:t>
      </w:r>
      <w:r w:rsidR="00F82C88"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F82C88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F82C88" w:rsidRPr="00687F1F">
        <w:rPr>
          <w:rFonts w:ascii="Times New Roman" w:hAnsi="Times New Roman" w:cs="Times New Roman"/>
          <w:sz w:val="28"/>
          <w:szCs w:val="28"/>
        </w:rPr>
        <w:t>/</w:t>
      </w:r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F82C88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F82C88" w:rsidRPr="00687F1F">
        <w:rPr>
          <w:rFonts w:ascii="Times New Roman" w:hAnsi="Times New Roman" w:cs="Times New Roman"/>
          <w:sz w:val="28"/>
          <w:szCs w:val="28"/>
        </w:rPr>
        <w:t xml:space="preserve"> (</w:t>
      </w:r>
      <w:r w:rsidR="00F82C88" w:rsidRPr="00687F1F">
        <w:rPr>
          <w:rFonts w:ascii="Times New Roman" w:hAnsi="Times New Roman" w:cs="Times New Roman"/>
          <w:i/>
          <w:sz w:val="28"/>
          <w:szCs w:val="28"/>
        </w:rPr>
        <w:t>р</w:t>
      </w:r>
      <w:r w:rsidR="00F82C88" w:rsidRPr="00687F1F">
        <w:rPr>
          <w:rFonts w:ascii="Times New Roman" w:hAnsi="Times New Roman" w:cs="Times New Roman"/>
          <w:sz w:val="28"/>
          <w:szCs w:val="28"/>
        </w:rPr>
        <w:t xml:space="preserve">=0,0001), </w:t>
      </w:r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F82C88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F82C88" w:rsidRPr="00687F1F">
        <w:rPr>
          <w:rFonts w:ascii="Times New Roman" w:hAnsi="Times New Roman" w:cs="Times New Roman"/>
          <w:sz w:val="28"/>
          <w:szCs w:val="28"/>
        </w:rPr>
        <w:t>/</w:t>
      </w:r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F82C88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F82C88" w:rsidRPr="00687F1F">
        <w:rPr>
          <w:rFonts w:ascii="Times New Roman" w:hAnsi="Times New Roman" w:cs="Times New Roman"/>
          <w:sz w:val="28"/>
          <w:szCs w:val="28"/>
        </w:rPr>
        <w:t xml:space="preserve"> (</w:t>
      </w:r>
      <w:r w:rsidR="00F82C88" w:rsidRPr="00687F1F">
        <w:rPr>
          <w:rFonts w:ascii="Times New Roman" w:hAnsi="Times New Roman" w:cs="Times New Roman"/>
          <w:i/>
          <w:sz w:val="28"/>
          <w:szCs w:val="28"/>
        </w:rPr>
        <w:t>р</w:t>
      </w:r>
      <w:r w:rsidR="00F82C88" w:rsidRPr="00687F1F">
        <w:rPr>
          <w:rFonts w:ascii="Times New Roman" w:hAnsi="Times New Roman" w:cs="Times New Roman"/>
          <w:sz w:val="28"/>
          <w:szCs w:val="28"/>
        </w:rPr>
        <w:t xml:space="preserve">&lt;0,0001), </w:t>
      </w:r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F82C88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F82C88" w:rsidRPr="00687F1F">
        <w:rPr>
          <w:rFonts w:ascii="Times New Roman" w:hAnsi="Times New Roman" w:cs="Times New Roman"/>
          <w:sz w:val="28"/>
          <w:szCs w:val="28"/>
        </w:rPr>
        <w:t>/</w:t>
      </w:r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F82C88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F82C88" w:rsidRPr="00687F1F">
        <w:rPr>
          <w:rFonts w:ascii="Times New Roman" w:hAnsi="Times New Roman" w:cs="Times New Roman"/>
          <w:sz w:val="28"/>
          <w:szCs w:val="28"/>
        </w:rPr>
        <w:t xml:space="preserve"> (</w:t>
      </w:r>
      <w:r w:rsidR="00F82C88" w:rsidRPr="00687F1F">
        <w:rPr>
          <w:rFonts w:ascii="Times New Roman" w:hAnsi="Times New Roman" w:cs="Times New Roman"/>
          <w:i/>
          <w:sz w:val="28"/>
          <w:szCs w:val="28"/>
        </w:rPr>
        <w:t>р</w:t>
      </w:r>
      <w:r w:rsidR="00F82C88" w:rsidRPr="00687F1F">
        <w:rPr>
          <w:rFonts w:ascii="Times New Roman" w:hAnsi="Times New Roman" w:cs="Times New Roman"/>
          <w:sz w:val="28"/>
          <w:szCs w:val="28"/>
        </w:rPr>
        <w:t>=0,0003)</w:t>
      </w:r>
      <w:r w:rsidR="00F82C88">
        <w:rPr>
          <w:rFonts w:ascii="Times New Roman" w:hAnsi="Times New Roman" w:cs="Times New Roman"/>
          <w:sz w:val="28"/>
          <w:szCs w:val="28"/>
        </w:rPr>
        <w:t xml:space="preserve"> </w:t>
      </w:r>
      <w:r w:rsidR="00F517CA">
        <w:rPr>
          <w:rFonts w:ascii="Times New Roman" w:hAnsi="Times New Roman" w:cs="Times New Roman"/>
          <w:sz w:val="28"/>
          <w:szCs w:val="28"/>
        </w:rPr>
        <w:t xml:space="preserve">были ассоциированы с </w:t>
      </w:r>
      <w:proofErr w:type="spellStart"/>
      <w:r w:rsidR="00F517CA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proofErr w:type="gramStart"/>
      <w:r w:rsidR="00F517C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517CA">
        <w:rPr>
          <w:rFonts w:ascii="Times New Roman" w:hAnsi="Times New Roman" w:cs="Times New Roman"/>
          <w:sz w:val="28"/>
          <w:szCs w:val="28"/>
        </w:rPr>
        <w:t xml:space="preserve"> гена </w:t>
      </w:r>
      <w:r w:rsidR="00F517CA" w:rsidRPr="00687F1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F517CA" w:rsidRPr="00687F1F">
        <w:rPr>
          <w:rFonts w:ascii="Times New Roman" w:hAnsi="Times New Roman" w:cs="Times New Roman"/>
          <w:i/>
          <w:sz w:val="28"/>
          <w:szCs w:val="28"/>
        </w:rPr>
        <w:t>1</w:t>
      </w:r>
      <w:r w:rsidR="00F517CA" w:rsidRPr="00687F1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="00F517CA">
        <w:rPr>
          <w:rFonts w:ascii="Times New Roman" w:hAnsi="Times New Roman" w:cs="Times New Roman"/>
          <w:i/>
          <w:sz w:val="28"/>
          <w:szCs w:val="28"/>
        </w:rPr>
        <w:t>.</w:t>
      </w:r>
      <w:r w:rsidR="00F517CA">
        <w:rPr>
          <w:rFonts w:ascii="Times New Roman" w:hAnsi="Times New Roman" w:cs="Times New Roman"/>
          <w:sz w:val="28"/>
          <w:szCs w:val="28"/>
        </w:rPr>
        <w:t xml:space="preserve"> </w:t>
      </w:r>
      <w:r w:rsidR="00F82C88">
        <w:rPr>
          <w:rFonts w:ascii="Times New Roman" w:hAnsi="Times New Roman" w:cs="Times New Roman"/>
          <w:sz w:val="28"/>
          <w:szCs w:val="28"/>
        </w:rPr>
        <w:t xml:space="preserve">Повышенные уровни </w:t>
      </w:r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F82C88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82C88"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F82C88">
        <w:rPr>
          <w:rFonts w:ascii="Times New Roman" w:hAnsi="Times New Roman" w:cs="Times New Roman"/>
          <w:sz w:val="28"/>
          <w:szCs w:val="28"/>
        </w:rPr>
        <w:t xml:space="preserve"> чаще встречались  у носителей </w:t>
      </w:r>
      <w:proofErr w:type="spellStart"/>
      <w:r w:rsidR="00F82C88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="00F82C88">
        <w:rPr>
          <w:rFonts w:ascii="Times New Roman" w:hAnsi="Times New Roman" w:cs="Times New Roman"/>
          <w:sz w:val="28"/>
          <w:szCs w:val="28"/>
        </w:rPr>
        <w:t xml:space="preserve"> </w:t>
      </w:r>
      <w:r w:rsidR="00F82C8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82C88">
        <w:rPr>
          <w:rFonts w:ascii="Times New Roman" w:hAnsi="Times New Roman" w:cs="Times New Roman"/>
          <w:sz w:val="28"/>
          <w:szCs w:val="28"/>
        </w:rPr>
        <w:t xml:space="preserve"> гена </w:t>
      </w:r>
      <w:r w:rsidR="00F82C88" w:rsidRPr="00687F1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F82C88" w:rsidRPr="00687F1F">
        <w:rPr>
          <w:rFonts w:ascii="Times New Roman" w:hAnsi="Times New Roman" w:cs="Times New Roman"/>
          <w:i/>
          <w:sz w:val="28"/>
          <w:szCs w:val="28"/>
        </w:rPr>
        <w:t>6</w:t>
      </w:r>
      <w:r w:rsidR="00D118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180B" w:rsidRPr="00687F1F">
        <w:rPr>
          <w:rFonts w:ascii="Times New Roman" w:hAnsi="Times New Roman" w:cs="Times New Roman"/>
          <w:sz w:val="28"/>
          <w:szCs w:val="28"/>
        </w:rPr>
        <w:t>(</w:t>
      </w:r>
      <w:r w:rsidR="00D1180B" w:rsidRPr="00687F1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D1180B" w:rsidRPr="00687F1F">
        <w:rPr>
          <w:rFonts w:ascii="Times New Roman" w:hAnsi="Times New Roman" w:cs="Times New Roman"/>
          <w:sz w:val="28"/>
          <w:szCs w:val="28"/>
        </w:rPr>
        <w:t>=0,007)</w:t>
      </w:r>
      <w:r w:rsidR="00D1180B">
        <w:rPr>
          <w:rFonts w:ascii="Times New Roman" w:hAnsi="Times New Roman" w:cs="Times New Roman"/>
          <w:sz w:val="28"/>
          <w:szCs w:val="28"/>
        </w:rPr>
        <w:t xml:space="preserve"> и у носителей </w:t>
      </w:r>
      <w:proofErr w:type="spellStart"/>
      <w:r w:rsidR="00D1180B">
        <w:rPr>
          <w:rFonts w:ascii="Times New Roman" w:hAnsi="Times New Roman" w:cs="Times New Roman"/>
          <w:sz w:val="28"/>
          <w:szCs w:val="28"/>
        </w:rPr>
        <w:t>аллел</w:t>
      </w:r>
      <w:r w:rsidR="00D1180B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Start"/>
      <w:r w:rsidR="00D1180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D1180B">
        <w:rPr>
          <w:rFonts w:ascii="Times New Roman" w:hAnsi="Times New Roman" w:cs="Times New Roman"/>
          <w:sz w:val="28"/>
          <w:szCs w:val="28"/>
        </w:rPr>
        <w:t xml:space="preserve"> гена </w:t>
      </w:r>
      <w:r w:rsidR="00D1180B" w:rsidRPr="00687F1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D1180B" w:rsidRPr="00687F1F">
        <w:rPr>
          <w:rFonts w:ascii="Times New Roman" w:hAnsi="Times New Roman" w:cs="Times New Roman"/>
          <w:i/>
          <w:sz w:val="28"/>
          <w:szCs w:val="28"/>
        </w:rPr>
        <w:t>40</w:t>
      </w:r>
      <w:r w:rsidR="00D118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180B" w:rsidRPr="00687F1F">
        <w:rPr>
          <w:rFonts w:ascii="Times New Roman" w:hAnsi="Times New Roman" w:cs="Times New Roman"/>
          <w:sz w:val="28"/>
          <w:szCs w:val="28"/>
        </w:rPr>
        <w:t>(</w:t>
      </w:r>
      <w:r w:rsidR="00D1180B" w:rsidRPr="00687F1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D1180B" w:rsidRPr="00687F1F">
        <w:rPr>
          <w:rFonts w:ascii="Times New Roman" w:hAnsi="Times New Roman" w:cs="Times New Roman"/>
          <w:sz w:val="28"/>
          <w:szCs w:val="28"/>
        </w:rPr>
        <w:t>=0,005).</w:t>
      </w:r>
      <w:r w:rsidR="00F82C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180B">
        <w:rPr>
          <w:rFonts w:ascii="Times New Roman" w:hAnsi="Times New Roman" w:cs="Times New Roman"/>
          <w:sz w:val="28"/>
          <w:szCs w:val="28"/>
        </w:rPr>
        <w:t xml:space="preserve">Повышенные уровни </w:t>
      </w:r>
      <w:r w:rsidR="00D1180B" w:rsidRPr="00687F1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D1180B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1180B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D1180B"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D1180B">
        <w:rPr>
          <w:rFonts w:ascii="Times New Roman" w:hAnsi="Times New Roman" w:cs="Times New Roman"/>
          <w:sz w:val="28"/>
          <w:szCs w:val="28"/>
        </w:rPr>
        <w:t xml:space="preserve">были ассоциированы с </w:t>
      </w:r>
      <w:proofErr w:type="spellStart"/>
      <w:r w:rsidR="00D1180B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="00D1180B">
        <w:rPr>
          <w:rFonts w:ascii="Times New Roman" w:hAnsi="Times New Roman" w:cs="Times New Roman"/>
          <w:sz w:val="28"/>
          <w:szCs w:val="28"/>
        </w:rPr>
        <w:t xml:space="preserve"> </w:t>
      </w:r>
      <w:r w:rsidR="00D1180B">
        <w:rPr>
          <w:rFonts w:ascii="Times New Roman" w:hAnsi="Times New Roman" w:cs="Times New Roman"/>
          <w:sz w:val="28"/>
          <w:szCs w:val="28"/>
        </w:rPr>
        <w:t>А</w:t>
      </w:r>
      <w:r w:rsidR="00D1180B">
        <w:rPr>
          <w:rFonts w:ascii="Times New Roman" w:hAnsi="Times New Roman" w:cs="Times New Roman"/>
          <w:sz w:val="28"/>
          <w:szCs w:val="28"/>
        </w:rPr>
        <w:t xml:space="preserve"> гена </w:t>
      </w:r>
      <w:r w:rsidRPr="00687F1F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Pr="00687F1F">
        <w:rPr>
          <w:rFonts w:ascii="Times New Roman" w:hAnsi="Times New Roman" w:cs="Times New Roman"/>
          <w:sz w:val="28"/>
          <w:szCs w:val="28"/>
        </w:rPr>
        <w:t xml:space="preserve"> (</w:t>
      </w:r>
      <w:r w:rsidRPr="00687F1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687F1F">
        <w:rPr>
          <w:rFonts w:ascii="Times New Roman" w:hAnsi="Times New Roman" w:cs="Times New Roman"/>
          <w:sz w:val="28"/>
          <w:szCs w:val="28"/>
        </w:rPr>
        <w:t>=0,00</w:t>
      </w:r>
      <w:r w:rsidR="001E7B6D" w:rsidRPr="00687F1F">
        <w:rPr>
          <w:rFonts w:ascii="Times New Roman" w:hAnsi="Times New Roman" w:cs="Times New Roman"/>
          <w:sz w:val="28"/>
          <w:szCs w:val="28"/>
        </w:rPr>
        <w:t>8</w:t>
      </w:r>
      <w:r w:rsidRPr="00687F1F">
        <w:rPr>
          <w:rFonts w:ascii="Times New Roman" w:hAnsi="Times New Roman" w:cs="Times New Roman"/>
          <w:sz w:val="28"/>
          <w:szCs w:val="28"/>
        </w:rPr>
        <w:t>)</w:t>
      </w:r>
      <w:r w:rsidR="00D1180B">
        <w:rPr>
          <w:rFonts w:ascii="Times New Roman" w:hAnsi="Times New Roman" w:cs="Times New Roman"/>
          <w:sz w:val="28"/>
          <w:szCs w:val="28"/>
        </w:rPr>
        <w:t xml:space="preserve">. </w:t>
      </w:r>
      <w:r w:rsidRPr="00687F1F">
        <w:rPr>
          <w:rFonts w:ascii="Times New Roman" w:hAnsi="Times New Roman" w:cs="Times New Roman"/>
          <w:sz w:val="28"/>
          <w:szCs w:val="28"/>
        </w:rPr>
        <w:t xml:space="preserve">У больных РМЖ выявлены </w:t>
      </w:r>
      <w:r w:rsidR="007E1F5E" w:rsidRPr="00687F1F">
        <w:rPr>
          <w:rFonts w:ascii="Times New Roman" w:hAnsi="Times New Roman" w:cs="Times New Roman"/>
          <w:sz w:val="28"/>
          <w:szCs w:val="28"/>
        </w:rPr>
        <w:t>ассоциации</w:t>
      </w:r>
      <w:r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834EC9">
        <w:rPr>
          <w:rFonts w:ascii="Times New Roman" w:hAnsi="Times New Roman" w:cs="Times New Roman"/>
          <w:sz w:val="28"/>
          <w:szCs w:val="28"/>
        </w:rPr>
        <w:t xml:space="preserve">антител </w:t>
      </w:r>
      <w:r w:rsidR="00834EC9" w:rsidRPr="00687F1F">
        <w:rPr>
          <w:rFonts w:ascii="Times New Roman" w:hAnsi="Times New Roman" w:cs="Times New Roman"/>
          <w:sz w:val="28"/>
          <w:szCs w:val="28"/>
        </w:rPr>
        <w:t>только</w:t>
      </w:r>
      <w:r w:rsidR="00834EC9">
        <w:rPr>
          <w:rFonts w:ascii="Times New Roman" w:hAnsi="Times New Roman" w:cs="Times New Roman"/>
          <w:sz w:val="28"/>
          <w:szCs w:val="28"/>
        </w:rPr>
        <w:t xml:space="preserve"> с </w:t>
      </w:r>
      <w:r w:rsidR="00834EC9">
        <w:rPr>
          <w:rFonts w:ascii="Times New Roman" w:hAnsi="Times New Roman" w:cs="Times New Roman"/>
          <w:sz w:val="28"/>
          <w:szCs w:val="28"/>
        </w:rPr>
        <w:t>полиморфизмом в ген</w:t>
      </w:r>
      <w:r w:rsidR="00834EC9">
        <w:rPr>
          <w:rFonts w:ascii="Times New Roman" w:hAnsi="Times New Roman" w:cs="Times New Roman"/>
          <w:sz w:val="28"/>
          <w:szCs w:val="28"/>
        </w:rPr>
        <w:t>е</w:t>
      </w:r>
      <w:r w:rsidR="00834EC9">
        <w:rPr>
          <w:rFonts w:ascii="Times New Roman" w:hAnsi="Times New Roman" w:cs="Times New Roman"/>
          <w:sz w:val="28"/>
          <w:szCs w:val="28"/>
        </w:rPr>
        <w:t xml:space="preserve"> </w:t>
      </w:r>
      <w:r w:rsidRPr="00687F1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687F1F">
        <w:rPr>
          <w:rFonts w:ascii="Times New Roman" w:hAnsi="Times New Roman" w:cs="Times New Roman"/>
          <w:i/>
          <w:sz w:val="28"/>
          <w:szCs w:val="28"/>
        </w:rPr>
        <w:t>40</w:t>
      </w:r>
      <w:r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834EC9" w:rsidRPr="00F82C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4EC9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834EC9">
        <w:rPr>
          <w:rFonts w:ascii="Times New Roman" w:hAnsi="Times New Roman" w:cs="Times New Roman"/>
          <w:sz w:val="28"/>
          <w:szCs w:val="28"/>
        </w:rPr>
        <w:t>6074022).</w:t>
      </w:r>
      <w:r w:rsidRPr="00687F1F">
        <w:rPr>
          <w:rFonts w:ascii="Times New Roman" w:hAnsi="Times New Roman" w:cs="Times New Roman"/>
          <w:sz w:val="28"/>
          <w:szCs w:val="28"/>
        </w:rPr>
        <w:t xml:space="preserve"> </w:t>
      </w:r>
      <w:r w:rsidR="00834EC9">
        <w:rPr>
          <w:rFonts w:ascii="Times New Roman" w:hAnsi="Times New Roman" w:cs="Times New Roman"/>
          <w:sz w:val="28"/>
          <w:szCs w:val="28"/>
        </w:rPr>
        <w:t xml:space="preserve">Повышенные уровни </w:t>
      </w:r>
      <w:r w:rsidR="00834EC9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834EC9" w:rsidRPr="00687F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34EC9"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834EC9">
        <w:rPr>
          <w:rFonts w:ascii="Times New Roman" w:hAnsi="Times New Roman" w:cs="Times New Roman"/>
          <w:sz w:val="28"/>
          <w:szCs w:val="28"/>
        </w:rPr>
        <w:t xml:space="preserve"> чаще встречались  у носителей </w:t>
      </w:r>
      <w:proofErr w:type="spellStart"/>
      <w:r w:rsidR="00834EC9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proofErr w:type="gramStart"/>
      <w:r w:rsidR="00834EC9" w:rsidRPr="00834EC9">
        <w:rPr>
          <w:rFonts w:ascii="Times New Roman" w:hAnsi="Times New Roman" w:cs="Times New Roman"/>
          <w:sz w:val="28"/>
          <w:szCs w:val="28"/>
        </w:rPr>
        <w:t xml:space="preserve"> </w:t>
      </w:r>
      <w:r w:rsidR="00834EC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34EC9">
        <w:rPr>
          <w:rFonts w:ascii="Times New Roman" w:hAnsi="Times New Roman" w:cs="Times New Roman"/>
          <w:sz w:val="28"/>
          <w:szCs w:val="28"/>
        </w:rPr>
        <w:t xml:space="preserve"> гена </w:t>
      </w:r>
      <w:r w:rsidR="00834EC9" w:rsidRPr="00687F1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834EC9" w:rsidRPr="00687F1F">
        <w:rPr>
          <w:rFonts w:ascii="Times New Roman" w:hAnsi="Times New Roman" w:cs="Times New Roman"/>
          <w:i/>
          <w:sz w:val="28"/>
          <w:szCs w:val="28"/>
        </w:rPr>
        <w:t>40</w:t>
      </w:r>
      <w:r w:rsidR="00834E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4EC9" w:rsidRPr="00687F1F">
        <w:rPr>
          <w:rFonts w:ascii="Times New Roman" w:hAnsi="Times New Roman" w:cs="Times New Roman"/>
          <w:sz w:val="28"/>
          <w:szCs w:val="28"/>
        </w:rPr>
        <w:t>(</w:t>
      </w:r>
      <w:r w:rsidR="00834EC9" w:rsidRPr="00687F1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34EC9" w:rsidRPr="00687F1F">
        <w:rPr>
          <w:rFonts w:ascii="Times New Roman" w:hAnsi="Times New Roman" w:cs="Times New Roman"/>
          <w:sz w:val="28"/>
          <w:szCs w:val="28"/>
        </w:rPr>
        <w:t>=0,00</w:t>
      </w:r>
      <w:r w:rsidR="00834EC9">
        <w:rPr>
          <w:rFonts w:ascii="Times New Roman" w:hAnsi="Times New Roman" w:cs="Times New Roman"/>
          <w:sz w:val="28"/>
          <w:szCs w:val="28"/>
        </w:rPr>
        <w:t>7</w:t>
      </w:r>
      <w:r w:rsidR="00834EC9" w:rsidRPr="00687F1F">
        <w:rPr>
          <w:rFonts w:ascii="Times New Roman" w:hAnsi="Times New Roman" w:cs="Times New Roman"/>
          <w:sz w:val="28"/>
          <w:szCs w:val="28"/>
        </w:rPr>
        <w:t>).</w:t>
      </w:r>
      <w:r w:rsidR="00834E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7324" w:rsidRPr="00B87370" w:rsidRDefault="00AC7324" w:rsidP="001805F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7F1F">
        <w:rPr>
          <w:rFonts w:ascii="Times New Roman" w:hAnsi="Times New Roman" w:cs="Times New Roman"/>
          <w:sz w:val="28"/>
          <w:szCs w:val="28"/>
        </w:rPr>
        <w:t>Таким образом</w:t>
      </w:r>
      <w:r w:rsidR="00BC5693" w:rsidRPr="00687F1F">
        <w:rPr>
          <w:rFonts w:ascii="Times New Roman" w:hAnsi="Times New Roman" w:cs="Times New Roman"/>
          <w:sz w:val="28"/>
          <w:szCs w:val="28"/>
        </w:rPr>
        <w:t>,</w:t>
      </w:r>
      <w:r w:rsidRPr="00687F1F">
        <w:rPr>
          <w:rFonts w:ascii="Times New Roman" w:hAnsi="Times New Roman" w:cs="Times New Roman"/>
          <w:sz w:val="28"/>
          <w:szCs w:val="28"/>
        </w:rPr>
        <w:t xml:space="preserve"> впервые подтвердили участие цитокинов в регуляции образования антител</w:t>
      </w:r>
      <w:r w:rsidR="00BC5693" w:rsidRPr="00687F1F">
        <w:rPr>
          <w:rFonts w:ascii="Times New Roman" w:hAnsi="Times New Roman" w:cs="Times New Roman"/>
          <w:sz w:val="28"/>
          <w:szCs w:val="28"/>
        </w:rPr>
        <w:t>,</w:t>
      </w:r>
      <w:r w:rsidRPr="00687F1F">
        <w:rPr>
          <w:rFonts w:ascii="Times New Roman" w:hAnsi="Times New Roman" w:cs="Times New Roman"/>
          <w:sz w:val="28"/>
          <w:szCs w:val="28"/>
        </w:rPr>
        <w:t xml:space="preserve"> специфичных к химическим канцерогенам и стероидным гормонам у здоровых людей и больных раком.</w:t>
      </w:r>
      <w:r w:rsidR="00B87370">
        <w:rPr>
          <w:rFonts w:ascii="Times New Roman" w:hAnsi="Times New Roman" w:cs="Times New Roman"/>
          <w:sz w:val="28"/>
          <w:szCs w:val="28"/>
        </w:rPr>
        <w:t xml:space="preserve"> Дальнейшие исследования антител к </w:t>
      </w:r>
      <w:proofErr w:type="spellStart"/>
      <w:r w:rsidR="00B87370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B87370" w:rsidRPr="006908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737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87370" w:rsidRPr="0069089E">
        <w:rPr>
          <w:rFonts w:ascii="Times New Roman" w:hAnsi="Times New Roman" w:cs="Times New Roman"/>
          <w:sz w:val="28"/>
          <w:szCs w:val="28"/>
        </w:rPr>
        <w:t xml:space="preserve"> </w:t>
      </w:r>
      <w:r w:rsidR="00B8737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87370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87370">
        <w:rPr>
          <w:rFonts w:ascii="Times New Roman" w:hAnsi="Times New Roman" w:cs="Times New Roman"/>
          <w:sz w:val="28"/>
          <w:szCs w:val="28"/>
        </w:rPr>
        <w:t xml:space="preserve"> в сочетании с анализом полиморфизма в генах цитокинов позволят оптимизировать диагностику индивидуальных рисков возникновения гормонозависимых злокачественных опухолей у человека.</w:t>
      </w:r>
    </w:p>
    <w:p w:rsidR="00AC7324" w:rsidRPr="00687F1F" w:rsidRDefault="00AC7324" w:rsidP="00AC7324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7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4AE" w:rsidRPr="00B23E8B" w:rsidRDefault="001234AE" w:rsidP="00AC732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234AE" w:rsidRPr="00B23E8B" w:rsidRDefault="001234AE" w:rsidP="00AC732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C7324" w:rsidRPr="00687F1F" w:rsidRDefault="00AC7324" w:rsidP="00AC7324">
      <w:pPr>
        <w:spacing w:after="0"/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7F1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Abstract</w:t>
      </w:r>
    </w:p>
    <w:p w:rsidR="00B23E8B" w:rsidRPr="00B87370" w:rsidRDefault="00AC7324" w:rsidP="001805F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Previous studies reported some associations between </w:t>
      </w:r>
      <w:r w:rsidR="00B87370">
        <w:rPr>
          <w:rFonts w:ascii="Times New Roman" w:hAnsi="Times New Roman" w:cs="Times New Roman"/>
          <w:sz w:val="28"/>
          <w:szCs w:val="28"/>
          <w:lang w:val="en-US"/>
        </w:rPr>
        <w:t xml:space="preserve">IgA and IgG 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>antibodies specific to benzo[a]pyrene (</w:t>
      </w:r>
      <w:proofErr w:type="spellStart"/>
      <w:r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687F1F">
        <w:rPr>
          <w:rFonts w:ascii="Times New Roman" w:hAnsi="Times New Roman" w:cs="Times New Roman"/>
          <w:sz w:val="28"/>
          <w:szCs w:val="28"/>
          <w:lang w:val="en-US"/>
        </w:rPr>
        <w:t>), estradiol (</w:t>
      </w:r>
      <w:proofErr w:type="spellStart"/>
      <w:r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687F1F">
        <w:rPr>
          <w:rFonts w:ascii="Times New Roman" w:hAnsi="Times New Roman" w:cs="Times New Roman"/>
          <w:sz w:val="28"/>
          <w:szCs w:val="28"/>
          <w:lang w:val="en-US"/>
        </w:rPr>
        <w:t>) and progesterone (</w:t>
      </w:r>
      <w:proofErr w:type="spellStart"/>
      <w:r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) and breast cancer (BC) in postmenopausal women. </w:t>
      </w:r>
      <w:r w:rsidR="00B87370">
        <w:rPr>
          <w:rFonts w:ascii="Times New Roman" w:hAnsi="Times New Roman" w:cs="Times New Roman"/>
          <w:sz w:val="28"/>
          <w:szCs w:val="28"/>
          <w:lang w:val="en-US"/>
        </w:rPr>
        <w:t>The personal ratios of these antibodies (</w:t>
      </w:r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873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proofErr w:type="gramEnd"/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B87370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87370">
        <w:rPr>
          <w:rFonts w:ascii="Times New Roman" w:hAnsi="Times New Roman" w:cs="Times New Roman"/>
          <w:sz w:val="28"/>
          <w:szCs w:val="28"/>
          <w:lang w:val="en-US"/>
        </w:rPr>
        <w:t xml:space="preserve">) were associated with BC as well. </w:t>
      </w:r>
      <w:r w:rsidR="00B87370" w:rsidRPr="00B873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>It was suggested that formation of antibodies to chemical carcinogens and steroid hormones was determined by gene</w:t>
      </w:r>
      <w:r w:rsidR="006D5B2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polymorphisms of cytokines. </w:t>
      </w:r>
    </w:p>
    <w:p w:rsidR="00B55B2F" w:rsidRDefault="00AC7324" w:rsidP="001805F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The purpose of this study was to identify the suggested associations of antibodies to </w:t>
      </w:r>
      <w:proofErr w:type="spellStart"/>
      <w:r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55B2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55B2F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55B2F"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1E7B6D"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r w:rsidR="00B55B2F">
        <w:rPr>
          <w:rFonts w:ascii="Times New Roman" w:hAnsi="Times New Roman" w:cs="Times New Roman"/>
          <w:sz w:val="28"/>
          <w:szCs w:val="28"/>
          <w:lang w:val="en-US"/>
        </w:rPr>
        <w:t xml:space="preserve">their individual ratios </w:t>
      </w:r>
      <w:r w:rsidR="001E7B6D" w:rsidRPr="00687F1F">
        <w:rPr>
          <w:rFonts w:ascii="Times New Roman" w:hAnsi="Times New Roman" w:cs="Times New Roman"/>
          <w:sz w:val="28"/>
          <w:szCs w:val="28"/>
          <w:lang w:val="en-US"/>
        </w:rPr>
        <w:t>with gene</w:t>
      </w:r>
      <w:r w:rsidR="00B873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E7B6D"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polymorphisms of </w:t>
      </w:r>
      <w:r w:rsidR="00F72EC4" w:rsidRPr="00687F1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IL1RN </w:t>
      </w:r>
      <w:r w:rsidR="00F72EC4" w:rsidRPr="00687F1F">
        <w:rPr>
          <w:rFonts w:ascii="Times New Roman" w:hAnsi="Times New Roman" w:cs="Times New Roman"/>
          <w:sz w:val="28"/>
          <w:szCs w:val="28"/>
          <w:lang w:val="en-US"/>
        </w:rPr>
        <w:t>(rs4251961)</w:t>
      </w:r>
      <w:r w:rsidR="00F72EC4" w:rsidRPr="00687F1F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IL1B </w:t>
      </w:r>
      <w:r w:rsidR="00F72EC4" w:rsidRPr="00687F1F">
        <w:rPr>
          <w:rFonts w:ascii="Times New Roman" w:hAnsi="Times New Roman" w:cs="Times New Roman"/>
          <w:sz w:val="28"/>
          <w:szCs w:val="28"/>
          <w:lang w:val="en-US"/>
        </w:rPr>
        <w:t>(rs16944)</w:t>
      </w:r>
      <w:r w:rsidR="00F72EC4" w:rsidRPr="00687F1F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3B6C33" w:rsidRPr="00687F1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IL6 </w:t>
      </w:r>
      <w:r w:rsidR="003B6C33" w:rsidRPr="00687F1F">
        <w:rPr>
          <w:rFonts w:ascii="Times New Roman" w:eastAsia="Calibri" w:hAnsi="Times New Roman" w:cs="Times New Roman"/>
          <w:sz w:val="28"/>
          <w:szCs w:val="28"/>
          <w:lang w:val="en-US"/>
        </w:rPr>
        <w:t>(rs1800795</w:t>
      </w:r>
      <w:r w:rsidR="003B6C33" w:rsidRPr="00687F1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, </w:t>
      </w:r>
      <w:r w:rsidR="003B6C33" w:rsidRPr="00687F1F">
        <w:rPr>
          <w:rFonts w:ascii="Times New Roman" w:eastAsia="Calibri" w:hAnsi="Times New Roman" w:cs="Times New Roman"/>
          <w:sz w:val="28"/>
          <w:szCs w:val="28"/>
          <w:lang w:val="en-US"/>
        </w:rPr>
        <w:t>rs1800796</w:t>
      </w:r>
      <w:r w:rsidR="003B6C33" w:rsidRPr="00687F1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, </w:t>
      </w:r>
      <w:r w:rsidR="003B6C33" w:rsidRPr="00687F1F">
        <w:rPr>
          <w:rFonts w:ascii="Times New Roman" w:eastAsia="Calibri" w:hAnsi="Times New Roman" w:cs="Times New Roman"/>
          <w:sz w:val="28"/>
          <w:szCs w:val="28"/>
          <w:lang w:val="en-US"/>
        </w:rPr>
        <w:t>rs1554606),</w:t>
      </w:r>
      <w:r w:rsidR="003B6C33" w:rsidRPr="00687F1F">
        <w:rPr>
          <w:rFonts w:eastAsia="Calibri"/>
          <w:b/>
          <w:sz w:val="28"/>
          <w:szCs w:val="28"/>
          <w:lang w:val="en-US"/>
        </w:rPr>
        <w:t xml:space="preserve"> </w:t>
      </w:r>
      <w:r w:rsidR="00F72EC4" w:rsidRPr="00687F1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IL8 </w:t>
      </w:r>
      <w:r w:rsidR="00F72EC4" w:rsidRPr="00687F1F">
        <w:rPr>
          <w:rFonts w:ascii="Times New Roman" w:hAnsi="Times New Roman" w:cs="Times New Roman"/>
          <w:sz w:val="28"/>
          <w:szCs w:val="28"/>
          <w:lang w:val="en-US"/>
        </w:rPr>
        <w:t>(rs4073)</w:t>
      </w:r>
      <w:r w:rsidR="00F72EC4" w:rsidRPr="00687F1F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TNFA </w:t>
      </w:r>
      <w:r w:rsidR="00F72EC4" w:rsidRPr="00687F1F">
        <w:rPr>
          <w:rFonts w:ascii="Times New Roman" w:eastAsia="Calibri" w:hAnsi="Times New Roman" w:cs="Times New Roman"/>
          <w:sz w:val="28"/>
          <w:szCs w:val="28"/>
          <w:lang w:val="en-US"/>
        </w:rPr>
        <w:t>(rs1800629)</w:t>
      </w:r>
      <w:r w:rsidR="00F72EC4"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F72EC4" w:rsidRPr="00687F1F">
        <w:rPr>
          <w:rFonts w:ascii="Times New Roman" w:hAnsi="Times New Roman" w:cs="Times New Roman"/>
          <w:i/>
          <w:sz w:val="28"/>
          <w:szCs w:val="28"/>
          <w:lang w:val="en-US"/>
        </w:rPr>
        <w:t xml:space="preserve">CD40 </w:t>
      </w:r>
      <w:r w:rsidR="00F72EC4" w:rsidRPr="00687F1F">
        <w:rPr>
          <w:rFonts w:ascii="Times New Roman" w:eastAsia="Calibri" w:hAnsi="Times New Roman" w:cs="Times New Roman"/>
          <w:sz w:val="28"/>
          <w:szCs w:val="28"/>
          <w:lang w:val="en-US"/>
        </w:rPr>
        <w:t>(rs6074022)</w:t>
      </w:r>
      <w:r w:rsidR="00F72EC4"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>in postmenopausal heathy women and BC patients.</w:t>
      </w:r>
      <w:r w:rsidR="00180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2477A" w:rsidRDefault="00AC7324" w:rsidP="001805FC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The serum </w:t>
      </w:r>
      <w:r w:rsidR="00B55B2F">
        <w:rPr>
          <w:rFonts w:ascii="Times New Roman" w:hAnsi="Times New Roman" w:cs="Times New Roman"/>
          <w:sz w:val="28"/>
          <w:szCs w:val="28"/>
          <w:lang w:val="en-US"/>
        </w:rPr>
        <w:t xml:space="preserve">IgA and IgG 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antibodies specific to </w:t>
      </w:r>
      <w:proofErr w:type="spellStart"/>
      <w:r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were studied in</w:t>
      </w:r>
      <w:r w:rsidR="009E7F84"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470 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>healthy women and</w:t>
      </w:r>
      <w:r w:rsidR="009E7F84"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995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BC patients by non-competitive solid phase immunoassay. </w:t>
      </w:r>
      <w:r w:rsidR="00B2477A">
        <w:rPr>
          <w:rFonts w:ascii="Times New Roman" w:hAnsi="Times New Roman" w:cs="Times New Roman"/>
          <w:sz w:val="28"/>
          <w:szCs w:val="28"/>
          <w:lang w:val="en-US"/>
        </w:rPr>
        <w:t xml:space="preserve">The conjugates of </w:t>
      </w:r>
      <w:proofErr w:type="spellStart"/>
      <w:r w:rsidR="00B2477A" w:rsidRPr="00687F1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B2477A"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2477A" w:rsidRPr="00687F1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247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B2477A" w:rsidRPr="00687F1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proofErr w:type="gramEnd"/>
      <w:r w:rsidR="00B2477A"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477A">
        <w:rPr>
          <w:rFonts w:ascii="Times New Roman" w:hAnsi="Times New Roman" w:cs="Times New Roman"/>
          <w:sz w:val="28"/>
          <w:szCs w:val="28"/>
          <w:lang w:val="en-US"/>
        </w:rPr>
        <w:t xml:space="preserve">with bovine serum albumin were used as adsorbed antigen. The </w:t>
      </w:r>
      <w:r w:rsidR="00CE56E8">
        <w:rPr>
          <w:rFonts w:ascii="Times New Roman" w:hAnsi="Times New Roman" w:cs="Times New Roman"/>
          <w:sz w:val="28"/>
          <w:szCs w:val="28"/>
          <w:lang w:val="en-US"/>
        </w:rPr>
        <w:t xml:space="preserve">goat </w:t>
      </w:r>
      <w:r w:rsidR="00B2477A">
        <w:rPr>
          <w:rFonts w:ascii="Times New Roman" w:hAnsi="Times New Roman" w:cs="Times New Roman"/>
          <w:sz w:val="28"/>
          <w:szCs w:val="28"/>
          <w:lang w:val="en-US"/>
        </w:rPr>
        <w:t xml:space="preserve">antibodies against human IgA or IgG conjugated with horseradish peroxidase were used for the detection of bound </w:t>
      </w:r>
      <w:proofErr w:type="spellStart"/>
      <w:r w:rsidR="00B2477A">
        <w:rPr>
          <w:rFonts w:ascii="Times New Roman" w:hAnsi="Times New Roman" w:cs="Times New Roman"/>
          <w:sz w:val="28"/>
          <w:szCs w:val="28"/>
          <w:lang w:val="en-US"/>
        </w:rPr>
        <w:t>hapten</w:t>
      </w:r>
      <w:proofErr w:type="spellEnd"/>
      <w:r w:rsidR="00B2477A">
        <w:rPr>
          <w:rFonts w:ascii="Times New Roman" w:hAnsi="Times New Roman" w:cs="Times New Roman"/>
          <w:sz w:val="28"/>
          <w:szCs w:val="28"/>
          <w:lang w:val="en-US"/>
        </w:rPr>
        <w:t xml:space="preserve">-specific </w:t>
      </w:r>
      <w:r w:rsidR="00CE56E8">
        <w:rPr>
          <w:rFonts w:ascii="Times New Roman" w:hAnsi="Times New Roman" w:cs="Times New Roman"/>
          <w:sz w:val="28"/>
          <w:szCs w:val="28"/>
          <w:lang w:val="en-US"/>
        </w:rPr>
        <w:t xml:space="preserve">antibodies. </w:t>
      </w:r>
      <w:proofErr w:type="gramStart"/>
      <w:r w:rsidRPr="00687F1F">
        <w:rPr>
          <w:rFonts w:ascii="Times New Roman" w:hAnsi="Times New Roman" w:cs="Times New Roman"/>
          <w:sz w:val="28"/>
          <w:szCs w:val="28"/>
          <w:lang w:val="en-US"/>
        </w:rPr>
        <w:t>Gene</w:t>
      </w:r>
      <w:r w:rsidR="00B2477A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 polymorphisms of cytokines were analy</w:t>
      </w:r>
      <w:r w:rsidR="001C33B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ed by </w:t>
      </w:r>
      <w:r w:rsidR="00B87370">
        <w:rPr>
          <w:rFonts w:ascii="Times New Roman" w:hAnsi="Times New Roman" w:cs="Times New Roman"/>
          <w:sz w:val="28"/>
          <w:szCs w:val="28"/>
          <w:lang w:val="en-US"/>
        </w:rPr>
        <w:t>Real-time PCR</w:t>
      </w:r>
      <w:r w:rsidRPr="00687F1F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CE56E8" w:rsidRPr="00CE56E8" w:rsidRDefault="00CE56E8" w:rsidP="00CE56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The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associations of the studied antibodies and their ratios with the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genes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polymorphism</w:t>
      </w:r>
      <w:r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s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in 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 xml:space="preserve">IL1RN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(rs4251961), 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IL6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(rs1800795), 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TNFA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(rs1800629) and 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CD40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(rs6074022) were found </w:t>
      </w:r>
      <w:r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i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n healthy women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The h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igh individual ratios IgA-</w:t>
      </w:r>
      <w:proofErr w:type="spellStart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Bp</w:t>
      </w:r>
      <w:proofErr w:type="spellEnd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/IgA-</w:t>
      </w:r>
      <w:proofErr w:type="spellStart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Pg</w:t>
      </w:r>
      <w:proofErr w:type="spellEnd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p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=0.0001), IgG-</w:t>
      </w:r>
      <w:proofErr w:type="spellStart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Bp</w:t>
      </w:r>
      <w:proofErr w:type="spellEnd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/IgG-</w:t>
      </w:r>
      <w:proofErr w:type="spellStart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Pg</w:t>
      </w:r>
      <w:proofErr w:type="spellEnd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p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&lt;0.0001), IgG-</w:t>
      </w:r>
      <w:proofErr w:type="spellStart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Es</w:t>
      </w:r>
      <w:proofErr w:type="spellEnd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/IgG-</w:t>
      </w:r>
      <w:proofErr w:type="spellStart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Pg</w:t>
      </w:r>
      <w:proofErr w:type="spellEnd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p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=0.0003) were associated with the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allele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C gene 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IL1RN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The high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IgG-</w:t>
      </w:r>
      <w:proofErr w:type="spellStart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Es</w:t>
      </w:r>
      <w:proofErr w:type="spellEnd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levels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were more common in </w:t>
      </w:r>
      <w:r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persons with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allele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G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gene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IL6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</w:t>
      </w:r>
      <w:r w:rsidRPr="00CE56E8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p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=0.007) and in </w:t>
      </w:r>
      <w:r w:rsidR="000A2DB2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persons with 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allele C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gene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Pr="000A2DB2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CD40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</w:t>
      </w:r>
      <w:r w:rsidRPr="000A2DB2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p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=0.005). </w:t>
      </w:r>
      <w:r w:rsidR="000A2DB2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The high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IgA-</w:t>
      </w:r>
      <w:proofErr w:type="spellStart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Pg</w:t>
      </w:r>
      <w:proofErr w:type="spellEnd"/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levels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were associated with the 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allele A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gene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Pr="000A2DB2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TNFA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</w:t>
      </w:r>
      <w:r w:rsidRPr="000A2DB2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p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=0.008). Associations of antibodies 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were found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only with </w:t>
      </w:r>
      <w:r w:rsidR="000A2DB2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genes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polymorphism</w:t>
      </w:r>
      <w:r w:rsidR="000A2DB2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s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in </w:t>
      </w:r>
      <w:r w:rsidRPr="000A2DB2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CD40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(rs6074022) in </w:t>
      </w:r>
      <w:r w:rsidR="000A2DB2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BC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patients. </w:t>
      </w:r>
      <w:r w:rsidR="000A2DB2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The high 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IgG-</w:t>
      </w:r>
      <w:proofErr w:type="spellStart"/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Es</w:t>
      </w:r>
      <w:proofErr w:type="spellEnd"/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levels were more common in </w:t>
      </w:r>
      <w:r w:rsidR="000A2DB2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persons with 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allele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="000A2DB2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T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gene </w:t>
      </w:r>
      <w:r w:rsidR="000A2DB2" w:rsidRPr="000A2DB2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CD40</w:t>
      </w:r>
      <w:r w:rsidR="000A2DB2"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 xml:space="preserve"> 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(</w:t>
      </w:r>
      <w:r w:rsidRPr="000A2DB2">
        <w:rPr>
          <w:rFonts w:ascii="Times New Roman" w:eastAsia="Times New Roman" w:hAnsi="Times New Roman" w:cs="Times New Roman"/>
          <w:i/>
          <w:sz w:val="28"/>
          <w:szCs w:val="24"/>
          <w:lang w:val="en" w:eastAsia="ru-RU"/>
        </w:rPr>
        <w:t>p</w:t>
      </w:r>
      <w:r w:rsidRPr="00CE56E8">
        <w:rPr>
          <w:rFonts w:ascii="Times New Roman" w:eastAsia="Times New Roman" w:hAnsi="Times New Roman" w:cs="Times New Roman"/>
          <w:sz w:val="28"/>
          <w:szCs w:val="24"/>
          <w:lang w:val="en" w:eastAsia="ru-RU"/>
        </w:rPr>
        <w:t>=0.007).</w:t>
      </w:r>
    </w:p>
    <w:p w:rsidR="00246391" w:rsidRPr="00961111" w:rsidRDefault="00AC7324" w:rsidP="001805FC">
      <w:pPr>
        <w:spacing w:after="0"/>
        <w:ind w:firstLine="709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conclusion, the participation of cytokines in </w:t>
      </w:r>
      <w:proofErr w:type="spellStart"/>
      <w:r w:rsidR="00927048">
        <w:rPr>
          <w:rFonts w:ascii="Times New Roman" w:hAnsi="Times New Roman" w:cs="Times New Roman"/>
          <w:sz w:val="28"/>
          <w:szCs w:val="28"/>
          <w:lang w:val="en-US"/>
        </w:rPr>
        <w:t>immunoregulation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antibodies formation to the environmental chemical carcinogen and endogenous steroid hormones in healthy women and cancer patients was revealed.</w:t>
      </w:r>
      <w:r w:rsidR="006D5B2A">
        <w:rPr>
          <w:rFonts w:ascii="Times New Roman" w:hAnsi="Times New Roman" w:cs="Times New Roman"/>
          <w:sz w:val="28"/>
          <w:szCs w:val="28"/>
          <w:lang w:val="en-US"/>
        </w:rPr>
        <w:t xml:space="preserve"> The future investigations of antibodies specific to </w:t>
      </w:r>
      <w:proofErr w:type="spellStart"/>
      <w:r w:rsidR="006D5B2A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="006D5B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5B2A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6D5B2A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6D5B2A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6D5B2A">
        <w:rPr>
          <w:rFonts w:ascii="Times New Roman" w:hAnsi="Times New Roman" w:cs="Times New Roman"/>
          <w:sz w:val="28"/>
          <w:szCs w:val="28"/>
          <w:lang w:val="en-US"/>
        </w:rPr>
        <w:t xml:space="preserve"> combined with </w:t>
      </w:r>
      <w:r w:rsidR="0096111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61111">
        <w:rPr>
          <w:rStyle w:val="tlid-translation"/>
          <w:rFonts w:ascii="Times New Roman" w:hAnsi="Times New Roman" w:cs="Times New Roman"/>
          <w:sz w:val="28"/>
          <w:lang w:val="en"/>
        </w:rPr>
        <w:t xml:space="preserve">analysis </w:t>
      </w:r>
      <w:r w:rsidR="00961111" w:rsidRPr="00961111">
        <w:rPr>
          <w:rStyle w:val="tlid-translation"/>
          <w:rFonts w:ascii="Times New Roman" w:hAnsi="Times New Roman" w:cs="Times New Roman"/>
          <w:sz w:val="28"/>
          <w:lang w:val="en"/>
        </w:rPr>
        <w:t>genes</w:t>
      </w:r>
      <w:r w:rsidR="00961111" w:rsidRPr="00961111">
        <w:rPr>
          <w:rStyle w:val="tlid-translation"/>
          <w:rFonts w:ascii="Times New Roman" w:hAnsi="Times New Roman" w:cs="Times New Roman"/>
          <w:sz w:val="28"/>
          <w:lang w:val="en"/>
        </w:rPr>
        <w:t xml:space="preserve"> </w:t>
      </w:r>
      <w:r w:rsidR="00961111" w:rsidRPr="00961111">
        <w:rPr>
          <w:rStyle w:val="tlid-translation"/>
          <w:rFonts w:ascii="Times New Roman" w:hAnsi="Times New Roman" w:cs="Times New Roman"/>
          <w:sz w:val="28"/>
          <w:lang w:val="en"/>
        </w:rPr>
        <w:t>polymorphism</w:t>
      </w:r>
      <w:r w:rsidR="00961111">
        <w:rPr>
          <w:rStyle w:val="tlid-translation"/>
          <w:rFonts w:ascii="Times New Roman" w:hAnsi="Times New Roman" w:cs="Times New Roman"/>
          <w:sz w:val="28"/>
          <w:lang w:val="en"/>
        </w:rPr>
        <w:t>s</w:t>
      </w:r>
      <w:r w:rsidR="00961111" w:rsidRPr="00961111">
        <w:rPr>
          <w:rStyle w:val="tlid-translation"/>
          <w:rFonts w:ascii="Times New Roman" w:hAnsi="Times New Roman" w:cs="Times New Roman"/>
          <w:sz w:val="28"/>
          <w:lang w:val="en"/>
        </w:rPr>
        <w:t xml:space="preserve"> in cytokine</w:t>
      </w:r>
      <w:r w:rsidR="00961111">
        <w:rPr>
          <w:rStyle w:val="tlid-translation"/>
          <w:rFonts w:ascii="Times New Roman" w:hAnsi="Times New Roman" w:cs="Times New Roman"/>
          <w:sz w:val="28"/>
          <w:lang w:val="en"/>
        </w:rPr>
        <w:t>s will be useful for the detection of the individual hormone-depe</w:t>
      </w:r>
      <w:bookmarkStart w:id="0" w:name="_GoBack"/>
      <w:bookmarkEnd w:id="0"/>
      <w:r w:rsidR="00961111">
        <w:rPr>
          <w:rStyle w:val="tlid-translation"/>
          <w:rFonts w:ascii="Times New Roman" w:hAnsi="Times New Roman" w:cs="Times New Roman"/>
          <w:sz w:val="28"/>
          <w:lang w:val="en"/>
        </w:rPr>
        <w:t xml:space="preserve">ndent cancer risks in humans. </w:t>
      </w:r>
      <w:r w:rsidR="00961111" w:rsidRPr="00961111">
        <w:rPr>
          <w:rStyle w:val="tlid-translation"/>
          <w:rFonts w:ascii="Times New Roman" w:hAnsi="Times New Roman" w:cs="Times New Roman"/>
          <w:sz w:val="28"/>
          <w:lang w:val="en"/>
        </w:rPr>
        <w:t xml:space="preserve"> </w:t>
      </w:r>
    </w:p>
    <w:sectPr w:rsidR="00246391" w:rsidRPr="0096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6F"/>
    <w:rsid w:val="000A2DB2"/>
    <w:rsid w:val="001234AE"/>
    <w:rsid w:val="00145C6F"/>
    <w:rsid w:val="001805FC"/>
    <w:rsid w:val="001C33BB"/>
    <w:rsid w:val="001E7B6D"/>
    <w:rsid w:val="00246391"/>
    <w:rsid w:val="003873F0"/>
    <w:rsid w:val="003B6C33"/>
    <w:rsid w:val="004870EC"/>
    <w:rsid w:val="005B23F4"/>
    <w:rsid w:val="00687F1F"/>
    <w:rsid w:val="006D5B2A"/>
    <w:rsid w:val="007E1F5E"/>
    <w:rsid w:val="00834EC9"/>
    <w:rsid w:val="008A6C28"/>
    <w:rsid w:val="00927048"/>
    <w:rsid w:val="00961111"/>
    <w:rsid w:val="009E7F84"/>
    <w:rsid w:val="00A13616"/>
    <w:rsid w:val="00AC7324"/>
    <w:rsid w:val="00B23E8B"/>
    <w:rsid w:val="00B2477A"/>
    <w:rsid w:val="00B55B2F"/>
    <w:rsid w:val="00B87370"/>
    <w:rsid w:val="00BC5693"/>
    <w:rsid w:val="00C97C51"/>
    <w:rsid w:val="00CE56E8"/>
    <w:rsid w:val="00D1180B"/>
    <w:rsid w:val="00DD5543"/>
    <w:rsid w:val="00E2314E"/>
    <w:rsid w:val="00F517CA"/>
    <w:rsid w:val="00F72EC4"/>
    <w:rsid w:val="00F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24"/>
    <w:pPr>
      <w:spacing w:after="160" w:line="259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CE5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24"/>
    <w:pPr>
      <w:spacing w:after="160" w:line="259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CE5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22</cp:revision>
  <cp:lastPrinted>2019-06-21T04:45:00Z</cp:lastPrinted>
  <dcterms:created xsi:type="dcterms:W3CDTF">2019-06-14T03:36:00Z</dcterms:created>
  <dcterms:modified xsi:type="dcterms:W3CDTF">2019-06-25T07:30:00Z</dcterms:modified>
</cp:coreProperties>
</file>