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C3" w:rsidRPr="00512D8B" w:rsidRDefault="007D73C3" w:rsidP="007D7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12D8B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7D73C3" w:rsidRPr="007D73C3" w:rsidRDefault="007D73C3" w:rsidP="007D73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4216"/>
        <w:gridCol w:w="1983"/>
        <w:gridCol w:w="6740"/>
      </w:tblGrid>
      <w:tr w:rsidR="007D73C3" w:rsidRPr="00D67EFC" w:rsidTr="00D67EFC">
        <w:trPr>
          <w:trHeight w:val="1115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55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</w:t>
            </w:r>
          </w:p>
        </w:tc>
        <w:tc>
          <w:tcPr>
            <w:tcW w:w="5745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55">
              <w:rPr>
                <w:rFonts w:ascii="Times New Roman" w:hAnsi="Times New Roman" w:cs="Times New Roman"/>
                <w:b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790" w:type="dxa"/>
          </w:tcPr>
          <w:p w:rsidR="007D73C3" w:rsidRPr="001C3555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55">
              <w:rPr>
                <w:rFonts w:ascii="Times New Roman" w:hAnsi="Times New Roman" w:cs="Times New Roman"/>
                <w:b/>
                <w:sz w:val="24"/>
                <w:szCs w:val="24"/>
              </w:rPr>
              <w:t>ФИО, название публикации и источника на английском</w:t>
            </w:r>
          </w:p>
        </w:tc>
        <w:tc>
          <w:tcPr>
            <w:tcW w:w="3383" w:type="dxa"/>
          </w:tcPr>
          <w:p w:rsidR="007D73C3" w:rsidRPr="001C3555" w:rsidRDefault="00D67EFC" w:rsidP="007D73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55">
              <w:rPr>
                <w:rFonts w:ascii="Times New Roman" w:hAnsi="Times New Roman" w:cs="Times New Roman"/>
                <w:b/>
                <w:sz w:val="24"/>
                <w:szCs w:val="24"/>
              </w:rPr>
              <w:t>Полный интернет адрес (</w:t>
            </w:r>
            <w:r w:rsidRPr="001C35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1C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1C35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doi</w:t>
            </w:r>
            <w:proofErr w:type="spellEnd"/>
          </w:p>
        </w:tc>
      </w:tr>
      <w:tr w:rsidR="007D73C3" w:rsidRPr="00D67EFC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5" w:type="dxa"/>
          </w:tcPr>
          <w:p w:rsidR="007D73C3" w:rsidRPr="00C60F83" w:rsidRDefault="00D67EFC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Киселев Л.В. Системный подход к оценке адаптации в спорте. Красноярск</w:t>
            </w:r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2012, 8–141. [</w:t>
            </w:r>
            <w:proofErr w:type="spellStart"/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Kiselev</w:t>
            </w:r>
            <w:proofErr w:type="spellEnd"/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V. System approach to assessment of adaptation in sport. </w:t>
            </w:r>
            <w:proofErr w:type="spellStart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Krasnoyarsk</w:t>
            </w:r>
            <w:proofErr w:type="spellEnd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Krasnoyarsk</w:t>
            </w:r>
            <w:proofErr w:type="spellEnd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C60F83">
              <w:rPr>
                <w:rFonts w:ascii="Times New Roman" w:hAnsi="Times New Roman" w:cs="Times New Roman"/>
                <w:sz w:val="24"/>
                <w:szCs w:val="24"/>
              </w:rPr>
              <w:t>, 2012, 8-141].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C3" w:rsidRPr="00D67EFC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5" w:type="dxa"/>
          </w:tcPr>
          <w:p w:rsidR="007D73C3" w:rsidRPr="00D67EFC" w:rsidRDefault="00D67EFC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Келина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 xml:space="preserve"> Н.Ю., Куликова О.А., Петроченко С.Н., Мягкова М.А. Современное состояние проблемы определения болезни как результата нарушений адаптации организма. 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XXI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2014, 01(17), 196–200.[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Kellina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 Yu. -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Kulikova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O. A.,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N.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the Current state of the problem of determining the disease as a result of violations of adaptation of the organism. XXI Century: the results of the past and the problems of the present plus.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2014, 01 (17), 196-200].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6F0B96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96">
              <w:rPr>
                <w:rFonts w:ascii="Times New Roman" w:hAnsi="Times New Roman" w:cs="Times New Roman"/>
                <w:sz w:val="24"/>
                <w:szCs w:val="24"/>
              </w:rPr>
              <w:t>https://elibrary.ru/item.asp?id=21485489</w:t>
            </w:r>
          </w:p>
        </w:tc>
      </w:tr>
      <w:tr w:rsidR="007D73C3" w:rsidRPr="00D67EFC" w:rsidTr="00D67EFC">
        <w:trPr>
          <w:trHeight w:val="287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</w:tcPr>
          <w:p w:rsidR="007D73C3" w:rsidRPr="00D67EFC" w:rsidRDefault="00D67EFC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Мягкова М.А., Морозова В.С. Естественных антитела и их физиологические функции. Иммунопатология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Аллергология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Инфектология</w:t>
            </w:r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2014, 3, 75–81</w:t>
            </w:r>
            <w:proofErr w:type="gram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.[</w:t>
            </w:r>
            <w:proofErr w:type="gram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A.,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S. Natural antibodies and their physiological functions.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Immunopathology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Allergology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Infectology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. 2014, 3, 75-81].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6F0B96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96">
              <w:rPr>
                <w:rFonts w:ascii="Times New Roman" w:hAnsi="Times New Roman" w:cs="Times New Roman"/>
                <w:sz w:val="24"/>
                <w:szCs w:val="24"/>
              </w:rPr>
              <w:t>https://elibrary.ru/item.asp?id=22860603</w:t>
            </w:r>
          </w:p>
        </w:tc>
      </w:tr>
      <w:tr w:rsidR="007D73C3" w:rsidRPr="00D67EFC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45" w:type="dxa"/>
          </w:tcPr>
          <w:p w:rsidR="007D73C3" w:rsidRPr="00D67EFC" w:rsidRDefault="00D67EFC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Mostafa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G.A., Ibrahim D.H.,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Shehab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A.A., Mohammed A.K. The role of measurement of serum autoantibodies in prediction of pediatric neuropsychiatric systemic lupus erythematosus. J. </w:t>
            </w:r>
            <w:proofErr w:type="spellStart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Neuroimmunol</w:t>
            </w:r>
            <w:proofErr w:type="spellEnd"/>
            <w:r w:rsidRPr="00D67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2010, 227, 195–201.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3C3" w:rsidRPr="00D67EFC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5" w:type="dxa"/>
          </w:tcPr>
          <w:p w:rsidR="007D73C3" w:rsidRPr="00D67EFC" w:rsidRDefault="00D67EFC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>Верхошанский</w:t>
            </w:r>
            <w:proofErr w:type="spellEnd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 xml:space="preserve"> Ю.В., Виру А.А. Некоторые закономерности долговременной адаптации организма спортсменов к физическим нагрузкам. Физиология</w:t>
            </w:r>
            <w:r w:rsidRPr="0021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D8F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21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2007, 5, 811–818</w:t>
            </w:r>
            <w:proofErr w:type="gramStart"/>
            <w:r w:rsidRPr="0021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.[</w:t>
            </w:r>
            <w:proofErr w:type="gramEnd"/>
            <w:r w:rsidRPr="0021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Some of the laws of the long-term adaptation of the body of athletes to physical exertion. </w:t>
            </w:r>
            <w:proofErr w:type="spellStart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>physiology</w:t>
            </w:r>
            <w:proofErr w:type="spellEnd"/>
            <w:r w:rsidRPr="00214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 xml:space="preserve"> 2007, 5, 811-818].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C3" w:rsidRPr="00D67EFC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5" w:type="dxa"/>
          </w:tcPr>
          <w:p w:rsidR="007D73C3" w:rsidRPr="00D67EFC" w:rsidRDefault="001C3555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Пальцев М.А., Полетаев А.Б., Сучков С.В.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Аутоиммунитет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и аутоиммунный синдром: границы нормы и патологии. Вестник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РАМН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2010, 8, 1–3.[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Paltsev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 A.,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B.,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Suchkov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V., Autoimmunity and autoimmunity, the boundaries of norm and pathology.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Vestnik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RAMN. 2010, 8, 1-3].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6F0B96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96">
              <w:rPr>
                <w:rFonts w:ascii="Times New Roman" w:hAnsi="Times New Roman" w:cs="Times New Roman"/>
                <w:sz w:val="24"/>
                <w:szCs w:val="24"/>
              </w:rPr>
              <w:t>https://elibrary.ru/item.asp?id=15175996</w:t>
            </w:r>
          </w:p>
        </w:tc>
      </w:tr>
      <w:tr w:rsidR="007D73C3" w:rsidRPr="001C3555" w:rsidTr="00D67EFC">
        <w:trPr>
          <w:trHeight w:val="287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5" w:type="dxa"/>
          </w:tcPr>
          <w:p w:rsidR="007D73C3" w:rsidRPr="003F2B87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Stepanyuk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V.L., Gershwin M.E. Integrating immunity: the </w:t>
            </w: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immunculus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self-reactivity. J. </w:t>
            </w: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Autoimmun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2008, 30, 68–73.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3C3" w:rsidRPr="003F2B87" w:rsidTr="00D67EFC">
        <w:trPr>
          <w:trHeight w:val="270"/>
        </w:trPr>
        <w:tc>
          <w:tcPr>
            <w:tcW w:w="1413" w:type="dxa"/>
          </w:tcPr>
          <w:p w:rsidR="007D73C3" w:rsidRPr="003F2B87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745" w:type="dxa"/>
          </w:tcPr>
          <w:p w:rsidR="007D73C3" w:rsidRPr="00D67EFC" w:rsidRDefault="001C3555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Мягкова М.А., Морозова В.С. Иммунохимические свойства естественных антител к физиологически активным соединениям. Фундаментальные</w:t>
            </w:r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2014, 11(5), 1066–1070</w:t>
            </w:r>
            <w:proofErr w:type="gramStart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.[</w:t>
            </w:r>
            <w:proofErr w:type="spellStart"/>
            <w:proofErr w:type="gram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M.A.Myagkova,V.S.Morozova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Immunochemical properties of natural antibodies to biologically active compounds. </w:t>
            </w: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. 2014, 11 (5), 1066-1070].</w:t>
            </w:r>
          </w:p>
        </w:tc>
        <w:tc>
          <w:tcPr>
            <w:tcW w:w="3790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7D73C3" w:rsidRPr="00D67EFC" w:rsidRDefault="003F2B87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87">
              <w:rPr>
                <w:rFonts w:ascii="Times New Roman" w:hAnsi="Times New Roman" w:cs="Times New Roman"/>
                <w:sz w:val="24"/>
                <w:szCs w:val="24"/>
              </w:rPr>
              <w:t>https://elibrary.ru/item.asp?id=22490624</w:t>
            </w:r>
          </w:p>
        </w:tc>
      </w:tr>
      <w:tr w:rsidR="007D73C3" w:rsidRPr="001C3555" w:rsidTr="00D67EFC">
        <w:trPr>
          <w:trHeight w:val="270"/>
        </w:trPr>
        <w:tc>
          <w:tcPr>
            <w:tcW w:w="1413" w:type="dxa"/>
          </w:tcPr>
          <w:p w:rsidR="007D73C3" w:rsidRPr="00D67EFC" w:rsidRDefault="007D73C3" w:rsidP="007D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Madi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Hecht I.,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Bransburg-Zabary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et. </w:t>
            </w:r>
            <w:proofErr w:type="gram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proofErr w:type="gram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Organization of the autoantibody repertoire in healthy newborns and adults revealed by system level informatics of antigen microarray data. Proc. Natl. Acad. Sci. USA. 2009, 106, 14484–14489.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3C3" w:rsidRPr="001C3555" w:rsidTr="00D67EFC">
        <w:trPr>
          <w:trHeight w:val="270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Hegadoren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K.M., O'Donnell T.,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Lanius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et al. The role of beta-endorphin in the pathophysiology of major depression. Neuropeptides. 2009, 43(5), 341–353.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73C3" w:rsidRPr="001C3555" w:rsidTr="00D67EFC">
        <w:trPr>
          <w:trHeight w:val="270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Петроченко С.Н., Боброва З.В., Мягкова М.А., Спасский А.А.,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Ледовской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С.М., Ильина А.К., Михайлов А.А.</w:t>
            </w:r>
            <w:r w:rsidR="003F2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 эндогенным биорегуляторам для оценки функционального состояния здоровья спортсменов//.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Клиническая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лабораторная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диагностики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2017.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62 (2), 346-350.[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N.,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Bobrova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 V.,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Myagkova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A.,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Spassky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Ledovskaya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M.,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Ilyin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Mikhailov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Determination of antibodies to endogenous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bioregulators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evaluation of the functional state of health of athletes. Clinical laboratory diagnostics. 2017. </w:t>
            </w:r>
            <w:proofErr w:type="gram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  <w:proofErr w:type="gram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62 (2), 346-350].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10.18821/0869-2084-2017-62-6-346-350</w:t>
            </w:r>
          </w:p>
        </w:tc>
      </w:tr>
      <w:tr w:rsidR="007D73C3" w:rsidRPr="00F454B3" w:rsidTr="00D67EFC">
        <w:trPr>
          <w:trHeight w:val="287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Мягкова М.А., Петроченко С.Н., Морозова В.С. и др. Антитела к эндогенным биорегуляторам и их связь с возрастными и гендерными особенностями хронического болевого синдрома. Журнал неврологии и психиатрии им. Корсакова. 2013, 4, 41–44. [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Miagkova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Petrochenko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Antibodies to endogenous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bioregulators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their relationship with age and gender characteristics of chronic pain syndrome. Journal of neurology and psychiatry.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Korsakovo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2013, 4, 41-44].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3F2B87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https://elibrary.ru/item.asp?id=19050547</w:t>
            </w:r>
          </w:p>
        </w:tc>
      </w:tr>
      <w:tr w:rsidR="007D73C3" w:rsidRPr="00F454B3" w:rsidTr="00D67EFC">
        <w:trPr>
          <w:trHeight w:val="270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Высочин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Ю.В., Денисенко Ю.П. Современные представления о физиологических механизмах срочной адаптации организма спортсменов к воздействиям физических нагрузок.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Теория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практика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физической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культуры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2002, 7, 2-6/</w:t>
            </w:r>
            <w:proofErr w:type="gram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.[</w:t>
            </w:r>
            <w:proofErr w:type="gram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Vysochin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Yu, V.,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Denisenko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 p. Modern ideas on physiological mechanisms of urgent adaptation of sportsmen organisms to impacts of physical stress. Theory and practice of physical culture, 2002, 7, 2-6].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214D8F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https://scholar.google.com/citations?user=XjFKsLAAAAAJ&amp;hl=ru</w:t>
            </w:r>
          </w:p>
        </w:tc>
      </w:tr>
      <w:tr w:rsidR="007D73C3" w:rsidRPr="00F454B3" w:rsidTr="00D67EFC">
        <w:trPr>
          <w:trHeight w:val="270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Евтух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П.В.,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Шустин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Б.Н. Научно-методические основы многолетней подготовки спортсменов.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Вестник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спортивной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науки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2008, 4, 16–19. [Evtukh A. V.,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Kvashuk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V.,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Shustin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 N. Scientific-methodical bases of long-term preparation of athletes. Bulletin of sports science. 2008, 4, 16-19].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C60F8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F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https://elibrary.ru/item.asp?id=13582664</w:t>
            </w:r>
          </w:p>
        </w:tc>
      </w:tr>
      <w:tr w:rsidR="007D73C3" w:rsidRPr="001C3555" w:rsidTr="00D67EFC">
        <w:trPr>
          <w:trHeight w:val="270"/>
        </w:trPr>
        <w:tc>
          <w:tcPr>
            <w:tcW w:w="1413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745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Полывяная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 О.Ю., Левашова А.И., Морозова В.С. и др. Уровни переносимости боли и факторы гуморального иммунитета при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>дорсалгии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Вестник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РАМН. 2015, 1, 118–124.[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Polyvana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Yu.,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Levashov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I.,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Morozova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S. and others Levels of pain tolerance and factors of humoral immunity in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dorsalgia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Vestnik</w:t>
            </w:r>
            <w:proofErr w:type="spellEnd"/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RAMN. 2015, 1, 118-124].</w:t>
            </w:r>
          </w:p>
        </w:tc>
        <w:tc>
          <w:tcPr>
            <w:tcW w:w="3790" w:type="dxa"/>
          </w:tcPr>
          <w:p w:rsidR="007D73C3" w:rsidRPr="001C3555" w:rsidRDefault="007D73C3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3" w:type="dxa"/>
          </w:tcPr>
          <w:p w:rsidR="007D73C3" w:rsidRPr="001C3555" w:rsidRDefault="001C3555" w:rsidP="007D73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10.15690/vramn.v70i1.1241</w:t>
            </w:r>
          </w:p>
        </w:tc>
      </w:tr>
    </w:tbl>
    <w:p w:rsidR="00C77A7E" w:rsidRPr="001C3555" w:rsidRDefault="00512D8B" w:rsidP="007D73C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77A7E" w:rsidRPr="001C3555" w:rsidSect="007D73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80A02"/>
    <w:multiLevelType w:val="hybridMultilevel"/>
    <w:tmpl w:val="7242E11E"/>
    <w:lvl w:ilvl="0" w:tplc="CBFADBF6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703"/>
        </w:tabs>
        <w:ind w:left="57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7143"/>
        </w:tabs>
        <w:ind w:left="71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863"/>
        </w:tabs>
        <w:ind w:left="78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583"/>
        </w:tabs>
        <w:ind w:left="85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9303"/>
        </w:tabs>
        <w:ind w:left="93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0023"/>
        </w:tabs>
        <w:ind w:left="100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8B"/>
    <w:rsid w:val="001613D6"/>
    <w:rsid w:val="0016523F"/>
    <w:rsid w:val="001C3555"/>
    <w:rsid w:val="00214D8F"/>
    <w:rsid w:val="002C125A"/>
    <w:rsid w:val="003F2B87"/>
    <w:rsid w:val="004568EA"/>
    <w:rsid w:val="00512D8B"/>
    <w:rsid w:val="006F0B96"/>
    <w:rsid w:val="007D73C3"/>
    <w:rsid w:val="00955F76"/>
    <w:rsid w:val="00A768AB"/>
    <w:rsid w:val="00AA77DB"/>
    <w:rsid w:val="00B845D2"/>
    <w:rsid w:val="00C60F83"/>
    <w:rsid w:val="00D67EFC"/>
    <w:rsid w:val="00E7498B"/>
    <w:rsid w:val="00F2606B"/>
    <w:rsid w:val="00F4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A4A88-8EC9-4C45-826D-588579B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7E82-9ACC-4F25-BA79-4C27A0E3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Dianark Home</dc:creator>
  <cp:keywords/>
  <dc:description/>
  <cp:lastModifiedBy>Dianark Home</cp:lastModifiedBy>
  <cp:revision>7</cp:revision>
  <cp:lastPrinted>2019-01-30T12:30:00Z</cp:lastPrinted>
  <dcterms:created xsi:type="dcterms:W3CDTF">2019-01-23T11:24:00Z</dcterms:created>
  <dcterms:modified xsi:type="dcterms:W3CDTF">2019-01-31T10:09:00Z</dcterms:modified>
</cp:coreProperties>
</file>