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19D" w:rsidRDefault="0003519D"/>
    <w:p w:rsidR="00740FBF" w:rsidRDefault="00740FBF"/>
    <w:p w:rsidR="00740FBF" w:rsidRDefault="00740FBF" w:rsidP="00740FBF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EFEFE"/>
        </w:rPr>
      </w:pPr>
    </w:p>
    <w:p w:rsidR="00740FBF" w:rsidRDefault="00740FBF" w:rsidP="00740FBF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EFEFE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 xml:space="preserve">Таблица 2. Данные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>ПЦР-анализа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 xml:space="preserve"> первичного материала (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>аутопсийные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 xml:space="preserve"> образцы, мазки из носа и зева).</w:t>
      </w:r>
    </w:p>
    <w:tbl>
      <w:tblPr>
        <w:tblStyle w:val="a7"/>
        <w:tblW w:w="0" w:type="auto"/>
        <w:tblInd w:w="-34" w:type="dxa"/>
        <w:tblLook w:val="04A0"/>
      </w:tblPr>
      <w:tblGrid>
        <w:gridCol w:w="1502"/>
        <w:gridCol w:w="1721"/>
        <w:gridCol w:w="1043"/>
        <w:gridCol w:w="1327"/>
        <w:gridCol w:w="1057"/>
        <w:gridCol w:w="1193"/>
        <w:gridCol w:w="1762"/>
      </w:tblGrid>
      <w:tr w:rsidR="00740FBF" w:rsidTr="00FA70D5">
        <w:tc>
          <w:tcPr>
            <w:tcW w:w="1536" w:type="dxa"/>
          </w:tcPr>
          <w:p w:rsidR="00740FBF" w:rsidRPr="00DB57C8" w:rsidRDefault="00740FBF" w:rsidP="00FA70D5">
            <w:pPr>
              <w:spacing w:line="36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EFEFE"/>
              </w:rPr>
            </w:pPr>
          </w:p>
        </w:tc>
        <w:tc>
          <w:tcPr>
            <w:tcW w:w="1725" w:type="dxa"/>
          </w:tcPr>
          <w:p w:rsidR="00740FBF" w:rsidRDefault="00740FBF" w:rsidP="00FA70D5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EFEF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EFEFE"/>
                <w:lang w:val="en-US"/>
              </w:rPr>
              <w:t>A</w:t>
            </w:r>
            <w:r w:rsidRPr="00DB57C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EFEFE"/>
              </w:rPr>
              <w:t>/</w:t>
            </w:r>
            <w:r w:rsidRPr="003675C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EFEFE"/>
              </w:rPr>
              <w:t>H1N1pdm09</w:t>
            </w:r>
          </w:p>
        </w:tc>
        <w:tc>
          <w:tcPr>
            <w:tcW w:w="1043" w:type="dxa"/>
          </w:tcPr>
          <w:p w:rsidR="00740FBF" w:rsidRDefault="00740FBF" w:rsidP="00FA70D5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EFEF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EFEFE"/>
                <w:lang w:val="en-US"/>
              </w:rPr>
              <w:t>A</w:t>
            </w:r>
            <w:r w:rsidRPr="00DB57C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EFEFE"/>
              </w:rPr>
              <w:t>/</w:t>
            </w:r>
            <w:r w:rsidRPr="003675C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EFEFE"/>
              </w:rPr>
              <w:t>H3N2</w:t>
            </w:r>
          </w:p>
        </w:tc>
        <w:tc>
          <w:tcPr>
            <w:tcW w:w="1367" w:type="dxa"/>
          </w:tcPr>
          <w:p w:rsidR="00740FBF" w:rsidRDefault="00740FBF" w:rsidP="00FA70D5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EFEF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EFEFE"/>
              </w:rPr>
              <w:t xml:space="preserve">Грипп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EFEFE"/>
                <w:lang w:val="en-US"/>
              </w:rPr>
              <w:t>A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EFEF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EFEFE"/>
              </w:rPr>
              <w:t>нетипи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EFEFE"/>
              </w:rPr>
              <w:t>-</w:t>
            </w:r>
          </w:p>
          <w:p w:rsidR="00740FBF" w:rsidRPr="00CE4570" w:rsidRDefault="00740FBF" w:rsidP="00FA70D5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EFEF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EFEFE"/>
              </w:rPr>
              <w:t>рованный</w:t>
            </w:r>
            <w:proofErr w:type="spellEnd"/>
          </w:p>
        </w:tc>
        <w:tc>
          <w:tcPr>
            <w:tcW w:w="1134" w:type="dxa"/>
          </w:tcPr>
          <w:p w:rsidR="00740FBF" w:rsidRDefault="00740FBF" w:rsidP="00FA70D5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EFEF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EFEFE"/>
              </w:rPr>
              <w:t>Грипп В</w:t>
            </w:r>
          </w:p>
        </w:tc>
        <w:tc>
          <w:tcPr>
            <w:tcW w:w="1275" w:type="dxa"/>
          </w:tcPr>
          <w:p w:rsidR="00740FBF" w:rsidRDefault="00740FBF" w:rsidP="00FA70D5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EFEF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EFEFE"/>
              </w:rPr>
              <w:t>Нет данных ПЦР</w:t>
            </w:r>
          </w:p>
        </w:tc>
        <w:tc>
          <w:tcPr>
            <w:tcW w:w="1275" w:type="dxa"/>
          </w:tcPr>
          <w:p w:rsidR="00740FBF" w:rsidRDefault="00740FBF" w:rsidP="00FA70D5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EFEF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EFEFE"/>
              </w:rPr>
              <w:t xml:space="preserve">Результаты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EFEFE"/>
              </w:rPr>
              <w:t>повторного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EFEF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EFEFE"/>
              </w:rPr>
              <w:t>ПЦР-анализа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EFEFE"/>
              </w:rPr>
              <w:t xml:space="preserve"> отрицательные</w:t>
            </w:r>
          </w:p>
        </w:tc>
      </w:tr>
      <w:tr w:rsidR="00740FBF" w:rsidTr="00FA70D5">
        <w:tc>
          <w:tcPr>
            <w:tcW w:w="1536" w:type="dxa"/>
          </w:tcPr>
          <w:p w:rsidR="00740FBF" w:rsidRDefault="00740FBF" w:rsidP="00FA70D5">
            <w:pPr>
              <w:spacing w:line="36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EFEF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EFEFE"/>
              </w:rPr>
              <w:t>Количество</w:t>
            </w:r>
          </w:p>
        </w:tc>
        <w:tc>
          <w:tcPr>
            <w:tcW w:w="1725" w:type="dxa"/>
          </w:tcPr>
          <w:p w:rsidR="00740FBF" w:rsidRDefault="00740FBF" w:rsidP="00FA70D5">
            <w:pPr>
              <w:spacing w:line="36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EFEF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EFEFE"/>
              </w:rPr>
              <w:t>651</w:t>
            </w:r>
          </w:p>
        </w:tc>
        <w:tc>
          <w:tcPr>
            <w:tcW w:w="1043" w:type="dxa"/>
          </w:tcPr>
          <w:p w:rsidR="00740FBF" w:rsidRDefault="00740FBF" w:rsidP="00FA70D5">
            <w:pPr>
              <w:spacing w:line="36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EFEF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EFEFE"/>
              </w:rPr>
              <w:t>358</w:t>
            </w:r>
          </w:p>
        </w:tc>
        <w:tc>
          <w:tcPr>
            <w:tcW w:w="1367" w:type="dxa"/>
          </w:tcPr>
          <w:p w:rsidR="00740FBF" w:rsidRDefault="00740FBF" w:rsidP="00FA70D5">
            <w:pPr>
              <w:spacing w:line="36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EFEF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EFEFE"/>
              </w:rPr>
              <w:t>49</w:t>
            </w:r>
          </w:p>
        </w:tc>
        <w:tc>
          <w:tcPr>
            <w:tcW w:w="1134" w:type="dxa"/>
          </w:tcPr>
          <w:p w:rsidR="00740FBF" w:rsidRDefault="00740FBF" w:rsidP="00FA70D5">
            <w:pPr>
              <w:spacing w:line="36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EFEF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EFEFE"/>
              </w:rPr>
              <w:t>38</w:t>
            </w:r>
          </w:p>
        </w:tc>
        <w:tc>
          <w:tcPr>
            <w:tcW w:w="1275" w:type="dxa"/>
          </w:tcPr>
          <w:p w:rsidR="00740FBF" w:rsidRDefault="00740FBF" w:rsidP="00FA70D5">
            <w:pPr>
              <w:spacing w:line="36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EFEF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EFEFE"/>
              </w:rPr>
              <w:t>140</w:t>
            </w:r>
          </w:p>
        </w:tc>
        <w:tc>
          <w:tcPr>
            <w:tcW w:w="1275" w:type="dxa"/>
          </w:tcPr>
          <w:p w:rsidR="00740FBF" w:rsidRDefault="00740FBF" w:rsidP="00FA70D5">
            <w:pPr>
              <w:spacing w:line="36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EFEF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EFEFE"/>
              </w:rPr>
              <w:t>4</w:t>
            </w:r>
          </w:p>
        </w:tc>
      </w:tr>
      <w:tr w:rsidR="00740FBF" w:rsidTr="00FA70D5">
        <w:tc>
          <w:tcPr>
            <w:tcW w:w="1536" w:type="dxa"/>
          </w:tcPr>
          <w:p w:rsidR="00740FBF" w:rsidRDefault="00740FBF" w:rsidP="00FA70D5">
            <w:pPr>
              <w:spacing w:line="36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EFEF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EFEFE"/>
              </w:rPr>
              <w:t>%</w:t>
            </w:r>
          </w:p>
        </w:tc>
        <w:tc>
          <w:tcPr>
            <w:tcW w:w="1725" w:type="dxa"/>
          </w:tcPr>
          <w:p w:rsidR="00740FBF" w:rsidRDefault="00740FBF" w:rsidP="00FA70D5">
            <w:pPr>
              <w:spacing w:line="36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EFEF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EFEFE"/>
              </w:rPr>
              <w:t>52,5</w:t>
            </w:r>
          </w:p>
        </w:tc>
        <w:tc>
          <w:tcPr>
            <w:tcW w:w="1043" w:type="dxa"/>
          </w:tcPr>
          <w:p w:rsidR="00740FBF" w:rsidRDefault="00740FBF" w:rsidP="00FA70D5">
            <w:pPr>
              <w:spacing w:line="36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EFEF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EFEFE"/>
              </w:rPr>
              <w:t>28,8</w:t>
            </w:r>
          </w:p>
        </w:tc>
        <w:tc>
          <w:tcPr>
            <w:tcW w:w="1367" w:type="dxa"/>
          </w:tcPr>
          <w:p w:rsidR="00740FBF" w:rsidRDefault="00740FBF" w:rsidP="00FA70D5">
            <w:pPr>
              <w:spacing w:line="36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EFEF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EFEFE"/>
              </w:rPr>
              <w:t>4,0</w:t>
            </w:r>
          </w:p>
        </w:tc>
        <w:tc>
          <w:tcPr>
            <w:tcW w:w="1134" w:type="dxa"/>
          </w:tcPr>
          <w:p w:rsidR="00740FBF" w:rsidRDefault="00740FBF" w:rsidP="00FA70D5">
            <w:pPr>
              <w:spacing w:line="36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EFEF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EFEFE"/>
              </w:rPr>
              <w:t>3,0</w:t>
            </w:r>
          </w:p>
        </w:tc>
        <w:tc>
          <w:tcPr>
            <w:tcW w:w="1275" w:type="dxa"/>
          </w:tcPr>
          <w:p w:rsidR="00740FBF" w:rsidRDefault="00740FBF" w:rsidP="00FA70D5">
            <w:pPr>
              <w:spacing w:line="36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EFEF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EFEFE"/>
              </w:rPr>
              <w:t>11,3</w:t>
            </w:r>
          </w:p>
        </w:tc>
        <w:tc>
          <w:tcPr>
            <w:tcW w:w="1275" w:type="dxa"/>
          </w:tcPr>
          <w:p w:rsidR="00740FBF" w:rsidRDefault="00740FBF" w:rsidP="00FA70D5">
            <w:pPr>
              <w:spacing w:line="36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EFEF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EFEFE"/>
              </w:rPr>
              <w:t>0,3</w:t>
            </w:r>
          </w:p>
        </w:tc>
      </w:tr>
    </w:tbl>
    <w:p w:rsidR="00740FBF" w:rsidRDefault="00740FBF"/>
    <w:sectPr w:rsidR="00740FBF" w:rsidSect="000351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proofState w:spelling="clean" w:grammar="clean"/>
  <w:defaultTabStop w:val="708"/>
  <w:characterSpacingControl w:val="doNotCompress"/>
  <w:compat/>
  <w:rsids>
    <w:rsidRoot w:val="00740FBF"/>
    <w:rsid w:val="0003519D"/>
    <w:rsid w:val="002A6339"/>
    <w:rsid w:val="00740FBF"/>
    <w:rsid w:val="00C715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FBF"/>
    <w:rPr>
      <w:rFonts w:ascii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C71501"/>
    <w:pPr>
      <w:keepNext/>
      <w:keepLines/>
      <w:spacing w:after="0" w:line="360" w:lineRule="auto"/>
      <w:jc w:val="center"/>
      <w:outlineLvl w:val="0"/>
    </w:pPr>
    <w:rPr>
      <w:rFonts w:ascii="Times New Roman" w:eastAsiaTheme="majorEastAsia" w:hAnsi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C71501"/>
    <w:pPr>
      <w:spacing w:after="0" w:line="360" w:lineRule="auto"/>
      <w:ind w:firstLine="709"/>
      <w:jc w:val="both"/>
      <w:outlineLvl w:val="1"/>
    </w:pPr>
    <w:rPr>
      <w:rFonts w:ascii="Times New Roman" w:hAnsi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C71501"/>
    <w:pPr>
      <w:keepNext/>
      <w:spacing w:after="0" w:line="240" w:lineRule="auto"/>
      <w:ind w:firstLine="540"/>
      <w:jc w:val="center"/>
      <w:outlineLvl w:val="4"/>
    </w:pPr>
    <w:rPr>
      <w:rFonts w:ascii="Times New Roman" w:eastAsia="Times New Roman" w:hAnsi="Times New Roman"/>
      <w:b/>
      <w:bCs/>
      <w:cap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1501"/>
    <w:rPr>
      <w:rFonts w:ascii="Times New Roman" w:eastAsiaTheme="majorEastAsia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C71501"/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rsid w:val="00C71501"/>
    <w:rPr>
      <w:rFonts w:ascii="Times New Roman" w:eastAsia="Times New Roman" w:hAnsi="Times New Roman" w:cs="Times New Roman"/>
      <w:b/>
      <w:bCs/>
      <w:caps/>
      <w:sz w:val="24"/>
      <w:szCs w:val="24"/>
    </w:rPr>
  </w:style>
  <w:style w:type="paragraph" w:styleId="11">
    <w:name w:val="toc 1"/>
    <w:basedOn w:val="a"/>
    <w:next w:val="a"/>
    <w:autoRedefine/>
    <w:uiPriority w:val="39"/>
    <w:unhideWhenUsed/>
    <w:qFormat/>
    <w:rsid w:val="00C71501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qFormat/>
    <w:rsid w:val="00C71501"/>
    <w:pPr>
      <w:spacing w:after="100"/>
      <w:ind w:left="220"/>
    </w:pPr>
  </w:style>
  <w:style w:type="paragraph" w:styleId="3">
    <w:name w:val="toc 3"/>
    <w:basedOn w:val="a"/>
    <w:next w:val="a"/>
    <w:autoRedefine/>
    <w:uiPriority w:val="39"/>
    <w:semiHidden/>
    <w:unhideWhenUsed/>
    <w:qFormat/>
    <w:rsid w:val="00C71501"/>
    <w:pPr>
      <w:spacing w:after="100"/>
      <w:ind w:left="440"/>
    </w:pPr>
    <w:rPr>
      <w:rFonts w:asciiTheme="minorHAnsi" w:eastAsiaTheme="minorEastAsia" w:hAnsiTheme="minorHAnsi" w:cstheme="minorBidi"/>
    </w:rPr>
  </w:style>
  <w:style w:type="character" w:styleId="a3">
    <w:name w:val="Strong"/>
    <w:basedOn w:val="a0"/>
    <w:uiPriority w:val="22"/>
    <w:qFormat/>
    <w:rsid w:val="00C71501"/>
    <w:rPr>
      <w:b/>
      <w:bCs/>
      <w:i w:val="0"/>
      <w:iCs w:val="0"/>
    </w:rPr>
  </w:style>
  <w:style w:type="paragraph" w:styleId="a4">
    <w:name w:val="No Spacing"/>
    <w:uiPriority w:val="1"/>
    <w:qFormat/>
    <w:rsid w:val="00C71501"/>
    <w:pPr>
      <w:spacing w:after="0" w:line="240" w:lineRule="auto"/>
    </w:pPr>
    <w:rPr>
      <w:rFonts w:ascii="Calibri" w:hAnsi="Calibri" w:cs="Times New Roman"/>
    </w:rPr>
  </w:style>
  <w:style w:type="paragraph" w:styleId="a5">
    <w:name w:val="List Paragraph"/>
    <w:basedOn w:val="a"/>
    <w:uiPriority w:val="34"/>
    <w:qFormat/>
    <w:rsid w:val="00C71501"/>
    <w:pPr>
      <w:ind w:left="720"/>
      <w:contextualSpacing/>
    </w:pPr>
  </w:style>
  <w:style w:type="paragraph" w:styleId="a6">
    <w:name w:val="TOC Heading"/>
    <w:basedOn w:val="1"/>
    <w:next w:val="a"/>
    <w:uiPriority w:val="39"/>
    <w:semiHidden/>
    <w:unhideWhenUsed/>
    <w:qFormat/>
    <w:rsid w:val="00C71501"/>
    <w:pPr>
      <w:spacing w:before="480" w:line="276" w:lineRule="auto"/>
      <w:jc w:val="left"/>
      <w:outlineLvl w:val="9"/>
    </w:pPr>
    <w:rPr>
      <w:rFonts w:asciiTheme="majorHAnsi" w:hAnsiTheme="majorHAnsi" w:cstheme="majorBidi"/>
      <w:color w:val="365F91" w:themeColor="accent1" w:themeShade="BF"/>
      <w:sz w:val="28"/>
      <w:szCs w:val="28"/>
    </w:rPr>
  </w:style>
  <w:style w:type="table" w:styleId="a7">
    <w:name w:val="Table Grid"/>
    <w:basedOn w:val="a1"/>
    <w:uiPriority w:val="59"/>
    <w:rsid w:val="00740F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ILICHEVA_TN</dc:creator>
  <cp:keywords/>
  <dc:description/>
  <cp:lastModifiedBy>ILICHEVA_TN</cp:lastModifiedBy>
  <cp:revision>1</cp:revision>
  <dcterms:created xsi:type="dcterms:W3CDTF">2019-06-03T10:32:00Z</dcterms:created>
  <dcterms:modified xsi:type="dcterms:W3CDTF">2019-06-03T10:32:00Z</dcterms:modified>
</cp:coreProperties>
</file>