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9D" w:rsidRDefault="0003519D" w:rsidP="00AA50FA"/>
    <w:p w:rsidR="00ED69EE" w:rsidRDefault="00AA50FA" w:rsidP="00AA50FA">
      <w:r w:rsidRPr="00AA50FA">
        <w:rPr>
          <w:noProof/>
          <w:lang w:eastAsia="ru-RU"/>
        </w:rPr>
        <w:drawing>
          <wp:inline distT="0" distB="0" distL="0" distR="0">
            <wp:extent cx="6121400" cy="3790950"/>
            <wp:effectExtent l="19050" t="0" r="1270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50FA" w:rsidRDefault="00AA50FA" w:rsidP="00AA5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D69EE" w:rsidRDefault="00ED69EE" w:rsidP="00AA50F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Рисунок 1. </w:t>
      </w:r>
      <w:r w:rsidRPr="007746BD">
        <w:rPr>
          <w:rFonts w:ascii="Times New Roman" w:eastAsia="Times New Roman" w:hAnsi="Times New Roman"/>
          <w:sz w:val="24"/>
          <w:szCs w:val="24"/>
          <w:lang w:eastAsia="ru-RU"/>
        </w:rPr>
        <w:t>Доля (%) сыворо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ток крови, собранных осенью 2018</w:t>
      </w:r>
      <w:r w:rsidRPr="007746BD">
        <w:rPr>
          <w:rFonts w:ascii="Times New Roman" w:eastAsia="Times New Roman" w:hAnsi="Times New Roman"/>
          <w:sz w:val="24"/>
          <w:szCs w:val="24"/>
          <w:lang w:eastAsia="ru-RU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имеющих значимые титры в РТГА </w:t>
      </w:r>
      <w:r w:rsidR="006B7528">
        <w:rPr>
          <w:rFonts w:ascii="Times New Roman" w:eastAsia="Times New Roman" w:hAnsi="Times New Roman"/>
          <w:sz w:val="24"/>
          <w:szCs w:val="24"/>
          <w:lang w:eastAsia="ru-RU"/>
        </w:rPr>
        <w:t xml:space="preserve">(40 и выше)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Pr="007746BD">
        <w:rPr>
          <w:rFonts w:ascii="Times New Roman" w:eastAsia="Times New Roman" w:hAnsi="Times New Roman"/>
          <w:sz w:val="24"/>
          <w:szCs w:val="24"/>
          <w:lang w:eastAsia="ru-RU"/>
        </w:rPr>
        <w:t xml:space="preserve"> штаммами вирусов гриппа</w:t>
      </w:r>
      <w:proofErr w:type="gramStart"/>
      <w:r w:rsidRPr="007746BD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7746BD">
        <w:rPr>
          <w:rFonts w:ascii="Times New Roman" w:eastAsia="Times New Roman" w:hAnsi="Times New Roman"/>
          <w:sz w:val="24"/>
          <w:szCs w:val="24"/>
          <w:lang w:eastAsia="ru-RU"/>
        </w:rPr>
        <w:t xml:space="preserve"> и В.</w:t>
      </w:r>
    </w:p>
    <w:p w:rsidR="00ED69EE" w:rsidRDefault="00ED69EE" w:rsidP="00AA50FA"/>
    <w:sectPr w:rsidR="00ED69EE" w:rsidSect="00AA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69EE"/>
    <w:rsid w:val="0003519D"/>
    <w:rsid w:val="002A6339"/>
    <w:rsid w:val="006B0730"/>
    <w:rsid w:val="006B7528"/>
    <w:rsid w:val="007A229B"/>
    <w:rsid w:val="00AA50FA"/>
    <w:rsid w:val="00C71501"/>
    <w:rsid w:val="00DE1144"/>
    <w:rsid w:val="00ED69EE"/>
    <w:rsid w:val="00F9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01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  <w:rPr>
      <w:rFonts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rFonts w:asciiTheme="minorHAnsi" w:eastAsiaTheme="minorEastAsia" w:hAnsiTheme="minorHAnsi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  <w:rPr>
      <w:rFonts w:cs="Times New Roman"/>
    </w:r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D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ILICHEVA_TN\&#1056;&#1072;&#1073;&#1086;&#1095;&#1080;&#1081;%20&#1089;&#1090;&#1086;&#1083;\&#1057;&#1090;&#1072;&#1090;&#1100;&#1103;%20&#1052;&#1077;&#1076;%20&#1080;&#1084;&#1084;&#1091;&#1085;&#1086;&#1083;_2019\&#1044;&#1080;&#1072;&#1075;&#1088;&#1072;&#1084;&#1084;&#1072;%20&#1057;&#1090;&#1072;&#1090;&#1100;&#1103;%20&#1052;&#1077;&#1076;%20&#1080;&#1084;&#1084;&#1091;&#1085;&#1086;&#1083;%202019%20(&#1076;&#1086;&#1073;&#1072;&#1074;.%20&#1040;&#1089;&#1090;&#1088;&#1072;&#1093;&#1072;&#1085;&#1100;%20&#1080;%20&#1050;&#1072;&#1083;&#1084;&#1099;&#1082;&#1080;&#1103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</a:t>
            </a:r>
            <a:r>
              <a:rPr lang="en-US"/>
              <a:t>8</a:t>
            </a:r>
            <a:endParaRPr lang="ru-RU"/>
          </a:p>
        </c:rich>
      </c:tx>
      <c:layout>
        <c:manualLayout>
          <c:xMode val="edge"/>
          <c:yMode val="edge"/>
          <c:x val="7.8637088077511103E-2"/>
          <c:y val="4.8484855604112045E-2"/>
        </c:manualLayout>
      </c:layout>
    </c:title>
    <c:plotArea>
      <c:layout>
        <c:manualLayout>
          <c:layoutTarget val="inner"/>
          <c:xMode val="edge"/>
          <c:yMode val="edge"/>
          <c:x val="6.5649006805036131E-2"/>
          <c:y val="4.4007849402740426E-2"/>
          <c:w val="0.75749300673448883"/>
          <c:h val="0.80535694515455358"/>
        </c:manualLayout>
      </c:layout>
      <c:barChart>
        <c:barDir val="col"/>
        <c:grouping val="clustered"/>
        <c:ser>
          <c:idx val="0"/>
          <c:order val="0"/>
          <c:tx>
            <c:strRef>
              <c:f>Лист1!$C$33</c:f>
              <c:strCache>
                <c:ptCount val="1"/>
                <c:pt idx="0">
                  <c:v>A/H1N1/Michigan</c:v>
                </c:pt>
              </c:strCache>
            </c:strRef>
          </c:tx>
          <c:spPr>
            <a:pattFill prst="pct75"/>
            <a:ln w="9525">
              <a:solidFill>
                <a:prstClr val="black"/>
              </a:solidFill>
            </a:ln>
          </c:spPr>
          <c:errBars>
            <c:errBarType val="both"/>
            <c:errValType val="percentage"/>
            <c:val val="10"/>
          </c:errBars>
          <c:cat>
            <c:strRef>
              <c:f>Лист1!$B$34:$B$36</c:f>
              <c:strCache>
                <c:ptCount val="3"/>
                <c:pt idx="0">
                  <c:v>Европейская часть России</c:v>
                </c:pt>
                <c:pt idx="1">
                  <c:v>Урал и Западная Сибирь</c:v>
                </c:pt>
                <c:pt idx="2">
                  <c:v>Восточная Сибирь и Дальний Восток</c:v>
                </c:pt>
              </c:strCache>
            </c:strRef>
          </c:cat>
          <c:val>
            <c:numRef>
              <c:f>Лист1!$C$34:$C$36</c:f>
              <c:numCache>
                <c:formatCode>0.0</c:formatCode>
                <c:ptCount val="3"/>
                <c:pt idx="0">
                  <c:v>46.406820950060904</c:v>
                </c:pt>
                <c:pt idx="1">
                  <c:v>46.923076923076941</c:v>
                </c:pt>
                <c:pt idx="2">
                  <c:v>52.666666666666664</c:v>
                </c:pt>
              </c:numCache>
            </c:numRef>
          </c:val>
        </c:ser>
        <c:ser>
          <c:idx val="1"/>
          <c:order val="1"/>
          <c:tx>
            <c:strRef>
              <c:f>Лист1!$D$33</c:f>
              <c:strCache>
                <c:ptCount val="1"/>
                <c:pt idx="0">
                  <c:v>A/H1N1/Lipetsk</c:v>
                </c:pt>
              </c:strCache>
            </c:strRef>
          </c:tx>
          <c:spPr>
            <a:pattFill prst="pct50"/>
            <a:ln w="9525">
              <a:solidFill>
                <a:schemeClr val="tx1"/>
              </a:solidFill>
            </a:ln>
          </c:spPr>
          <c:errBars>
            <c:errBarType val="both"/>
            <c:errValType val="percentage"/>
            <c:val val="10"/>
          </c:errBars>
          <c:cat>
            <c:strRef>
              <c:f>Лист1!$B$34:$B$36</c:f>
              <c:strCache>
                <c:ptCount val="3"/>
                <c:pt idx="0">
                  <c:v>Европейская часть России</c:v>
                </c:pt>
                <c:pt idx="1">
                  <c:v>Урал и Западная Сибирь</c:v>
                </c:pt>
                <c:pt idx="2">
                  <c:v>Восточная Сибирь и Дальний Восток</c:v>
                </c:pt>
              </c:strCache>
            </c:strRef>
          </c:cat>
          <c:val>
            <c:numRef>
              <c:f>Лист1!$D$34:$D$36</c:f>
              <c:numCache>
                <c:formatCode>0.0</c:formatCode>
                <c:ptCount val="3"/>
                <c:pt idx="0">
                  <c:v>44.408945686900978</c:v>
                </c:pt>
                <c:pt idx="1">
                  <c:v>51.538461538461526</c:v>
                </c:pt>
                <c:pt idx="2">
                  <c:v>57.028985507246368</c:v>
                </c:pt>
              </c:numCache>
            </c:numRef>
          </c:val>
        </c:ser>
        <c:ser>
          <c:idx val="2"/>
          <c:order val="2"/>
          <c:tx>
            <c:strRef>
              <c:f>Лист1!$E$33</c:f>
              <c:strCache>
                <c:ptCount val="1"/>
                <c:pt idx="0">
                  <c:v>A/H3N2</c:v>
                </c:pt>
              </c:strCache>
            </c:strRef>
          </c:tx>
          <c:spPr>
            <a:pattFill prst="pct20"/>
            <a:ln>
              <a:solidFill>
                <a:schemeClr val="tx1"/>
              </a:solidFill>
            </a:ln>
          </c:spPr>
          <c:errBars>
            <c:errBarType val="both"/>
            <c:errValType val="percentage"/>
            <c:val val="10"/>
          </c:errBars>
          <c:cat>
            <c:strRef>
              <c:f>Лист1!$B$34:$B$36</c:f>
              <c:strCache>
                <c:ptCount val="3"/>
                <c:pt idx="0">
                  <c:v>Европейская часть России</c:v>
                </c:pt>
                <c:pt idx="1">
                  <c:v>Урал и Западная Сибирь</c:v>
                </c:pt>
                <c:pt idx="2">
                  <c:v>Восточная Сибирь и Дальний Восток</c:v>
                </c:pt>
              </c:strCache>
            </c:strRef>
          </c:cat>
          <c:val>
            <c:numRef>
              <c:f>Лист1!$E$34:$E$36</c:f>
              <c:numCache>
                <c:formatCode>0.0</c:formatCode>
                <c:ptCount val="3"/>
                <c:pt idx="0">
                  <c:v>35.569755058572973</c:v>
                </c:pt>
                <c:pt idx="1">
                  <c:v>28.076923076923066</c:v>
                </c:pt>
                <c:pt idx="2">
                  <c:v>41.797101449275402</c:v>
                </c:pt>
              </c:numCache>
            </c:numRef>
          </c:val>
        </c:ser>
        <c:ser>
          <c:idx val="3"/>
          <c:order val="3"/>
          <c:tx>
            <c:strRef>
              <c:f>Лист1!$F$33</c:f>
              <c:strCache>
                <c:ptCount val="1"/>
                <c:pt idx="0">
                  <c:v>B/Victoria</c:v>
                </c:pt>
              </c:strCache>
            </c:strRef>
          </c:tx>
          <c:spPr>
            <a:pattFill prst="ltHorz"/>
            <a:ln>
              <a:solidFill>
                <a:sysClr val="windowText" lastClr="000000"/>
              </a:solidFill>
            </a:ln>
          </c:spPr>
          <c:errBars>
            <c:errBarType val="both"/>
            <c:errValType val="percentage"/>
            <c:val val="10"/>
          </c:errBars>
          <c:cat>
            <c:strRef>
              <c:f>Лист1!$B$34:$B$36</c:f>
              <c:strCache>
                <c:ptCount val="3"/>
                <c:pt idx="0">
                  <c:v>Европейская часть России</c:v>
                </c:pt>
                <c:pt idx="1">
                  <c:v>Урал и Западная Сибирь</c:v>
                </c:pt>
                <c:pt idx="2">
                  <c:v>Восточная Сибирь и Дальний Восток</c:v>
                </c:pt>
              </c:strCache>
            </c:strRef>
          </c:cat>
          <c:val>
            <c:numRef>
              <c:f>Лист1!$F$34:$F$36</c:f>
              <c:numCache>
                <c:formatCode>0.0</c:formatCode>
                <c:ptCount val="3"/>
                <c:pt idx="0">
                  <c:v>10.475030450669927</c:v>
                </c:pt>
                <c:pt idx="1">
                  <c:v>11.15384615384616</c:v>
                </c:pt>
                <c:pt idx="2">
                  <c:v>14.666666666666673</c:v>
                </c:pt>
              </c:numCache>
            </c:numRef>
          </c:val>
        </c:ser>
        <c:ser>
          <c:idx val="4"/>
          <c:order val="4"/>
          <c:tx>
            <c:strRef>
              <c:f>Лист1!$G$33</c:f>
              <c:strCache>
                <c:ptCount val="1"/>
                <c:pt idx="0">
                  <c:v>B/Ymagata</c:v>
                </c:pt>
              </c:strCache>
            </c:strRef>
          </c:tx>
          <c:spPr>
            <a:pattFill prst="dashUpDiag"/>
            <a:ln>
              <a:solidFill>
                <a:sysClr val="windowText" lastClr="000000"/>
              </a:solidFill>
            </a:ln>
          </c:spPr>
          <c:errBars>
            <c:errBarType val="both"/>
            <c:errValType val="percentage"/>
            <c:val val="10"/>
          </c:errBars>
          <c:cat>
            <c:strRef>
              <c:f>Лист1!$B$34:$B$36</c:f>
              <c:strCache>
                <c:ptCount val="3"/>
                <c:pt idx="0">
                  <c:v>Европейская часть России</c:v>
                </c:pt>
                <c:pt idx="1">
                  <c:v>Урал и Западная Сибирь</c:v>
                </c:pt>
                <c:pt idx="2">
                  <c:v>Восточная Сибирь и Дальний Восток</c:v>
                </c:pt>
              </c:strCache>
            </c:strRef>
          </c:cat>
          <c:val>
            <c:numRef>
              <c:f>Лист1!$G$34:$G$36</c:f>
              <c:numCache>
                <c:formatCode>0.0</c:formatCode>
                <c:ptCount val="3"/>
                <c:pt idx="0">
                  <c:v>11.93455245428297</c:v>
                </c:pt>
                <c:pt idx="1">
                  <c:v>12.692307692307697</c:v>
                </c:pt>
                <c:pt idx="2">
                  <c:v>21.449275362318801</c:v>
                </c:pt>
              </c:numCache>
            </c:numRef>
          </c:val>
        </c:ser>
        <c:overlap val="-40"/>
        <c:axId val="68206976"/>
        <c:axId val="68208896"/>
      </c:barChart>
      <c:catAx>
        <c:axId val="68206976"/>
        <c:scaling>
          <c:orientation val="minMax"/>
        </c:scaling>
        <c:axPos val="b"/>
        <c:tickLblPos val="nextTo"/>
        <c:spPr>
          <a:ln w="6350">
            <a:solidFill>
              <a:schemeClr val="tx1">
                <a:lumMod val="65000"/>
                <a:lumOff val="35000"/>
              </a:schemeClr>
            </a:solidFill>
          </a:ln>
        </c:spPr>
        <c:txPr>
          <a:bodyPr/>
          <a:lstStyle/>
          <a:p>
            <a:pPr>
              <a:defRPr sz="1400" b="0"/>
            </a:pPr>
            <a:endParaRPr lang="ru-RU"/>
          </a:p>
        </c:txPr>
        <c:crossAx val="68208896"/>
        <c:crossesAt val="0"/>
        <c:auto val="1"/>
        <c:lblAlgn val="ctr"/>
        <c:lblOffset val="0"/>
      </c:catAx>
      <c:valAx>
        <c:axId val="68208896"/>
        <c:scaling>
          <c:orientation val="minMax"/>
          <c:max val="70"/>
        </c:scaling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none"/>
        <c:tickLblPos val="nextTo"/>
        <c:spPr>
          <a:ln w="6350">
            <a:solidFill>
              <a:schemeClr val="tx1">
                <a:lumMod val="65000"/>
                <a:lumOff val="35000"/>
              </a:schemeClr>
            </a:solidFill>
          </a:ln>
        </c:spPr>
        <c:txPr>
          <a:bodyPr rot="0" vert="horz" anchor="ctr" anchorCtr="0"/>
          <a:lstStyle/>
          <a:p>
            <a:pPr>
              <a:defRPr sz="1000" b="0"/>
            </a:pPr>
            <a:endParaRPr lang="ru-RU"/>
          </a:p>
        </c:txPr>
        <c:crossAx val="68206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017145599493863"/>
          <c:y val="3.8078322613535241E-2"/>
          <c:w val="0.23982854400506154"/>
          <c:h val="0.41493761121022932"/>
        </c:manualLayout>
      </c:layout>
      <c:txPr>
        <a:bodyPr/>
        <a:lstStyle/>
        <a:p>
          <a:pPr>
            <a:defRPr sz="1300" b="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4</cp:revision>
  <dcterms:created xsi:type="dcterms:W3CDTF">2019-06-03T10:29:00Z</dcterms:created>
  <dcterms:modified xsi:type="dcterms:W3CDTF">2019-06-07T03:03:00Z</dcterms:modified>
</cp:coreProperties>
</file>