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0"/>
        <w:gridCol w:w="2634"/>
        <w:gridCol w:w="3375"/>
        <w:gridCol w:w="6684"/>
      </w:tblGrid>
      <w:tr w:rsidR="007A5B25" w:rsidRPr="007A5B25" w:rsidTr="00593C77">
        <w:trPr>
          <w:trHeight w:val="2397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3027" w:rsidRPr="001D3027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Порядковый номер ссылки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3027" w:rsidRPr="001D3027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3027" w:rsidRPr="001D3027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3027" w:rsidRPr="001D3027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1D3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doi</w:t>
            </w:r>
            <w:proofErr w:type="spellEnd"/>
            <w:r w:rsidRPr="001D30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7A5B25" w:rsidRPr="0000698D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B06CAA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Abboud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R. T.,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Vimalanathan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S. Pathogenesis of COPD. Part, I. The role of protease-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antiprotease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imbalance in emphysema. </w:t>
            </w:r>
            <w:r w:rsidRPr="007A5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Int. J.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Tuberc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. Lung Dis., 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2008</w:t>
            </w:r>
            <w:r w:rsidRPr="007A5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,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Vol.12, no. 4, pp. 361–367.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https://www.ncbi.nlm.nih.gov/pubmed/18371259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Arpino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V., Brock M., Gill S. E. The role of TIMPs in regulation of extracellular matrix proteolysis.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Matrix Biology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2015, Vol. 44-46, pp. 247-254.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10.1016/j.matbio.2015.03.005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Arribas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S. M.,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Hinek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A., González M. C. Elastic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fibres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 vascular structure in hypertension.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Pharmacology &amp; Therapeutics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2006, Vol. 111, no. 3, pp. 771-791.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10.1016/j.pharmthera.2005.12.003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Baldwin A. K., Simpson A., Steer R., Cain S. A.,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Kielty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C. M. Elastic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fibres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health and disease.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Expert Reviews in Molecular Medicine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2013, Vol. 15. 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10.1017/erm.2013.9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Barnes P. J. Mediators of Chronic Obstructive Pulmonary Disease.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Pharmacological Reviews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2004, Vol. 56, no. 4, pp. 515-548.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10.1124/pr.56.4.2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6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Belaaouaj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A., McCarthy R., Baumann M., Gao Z., Ley T. J., Abraham S. N., Shapiro S. D.  Mice lacking neutrophil elastase reveal impaired host defense against gram-negative bacterial sepsis.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Nature Medicine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1998, Vol. 4, no. 5, pp. 615-618.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10.1038/nm0598-615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7A5B25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C00DE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Brehm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Geraghty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P., Campos M., Garcia-Arcos I.,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Dabo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A. J., Gaffney A., Eden E., Jiang, X.,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D'Armiento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Foronjy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R.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Cathepsin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 degradation of phospholipid transfer protein (PLTP) augments pulmonary inflammation. The FASEB Journal, 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2014, Vol. 28, no. 5, pp. 2318-2331.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C00DE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3027" w:rsidRPr="007A5B25" w:rsidRDefault="001D3027" w:rsidP="001D30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doi:10.1096/fj.13-246843 </w:t>
            </w:r>
          </w:p>
          <w:p w:rsidR="001D3027" w:rsidRPr="007A5B25" w:rsidRDefault="001D3027" w:rsidP="00C00DE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8.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Chuchalin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Khaltaev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Antonov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Galkin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Manakov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Antonini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P., Murphy M.,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Solodovnikov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Bousquet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J., Pereira M.,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Demko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I. Chronic respiratory diseases and risk factors in 12 regions of the Russian Federation.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International Journal of Chronic Obstructive Pulmonary Disease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2014, Vol. 9, pp. 963–974.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Style w:val="selectable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10.2147/copd.s67283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Churg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A.,Wright</w:t>
            </w:r>
            <w:proofErr w:type="spellEnd"/>
            <w:proofErr w:type="gram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 L. Proteases and emphysema.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Current Opinion in Pulmonary Medicine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2005, Vol. 11, no. 2, pp. 153-159.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10.1097/01.mcp.0000149592.51761.e3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</w:t>
            </w:r>
            <w:r w:rsidR="00881934"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de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Garavilla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L., Greco M. N.,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Sukumar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N., Chen Z., Pineda A. O., Mathews F. S., Di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Cera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Giardino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E. C., Wells G. I.,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Haertlein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B. J., Kauffman J. A., Corcoran T. W.,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Derian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C. K.,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Eckardt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A. J.,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Damiano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B. P., Andrade-Gordon P.,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Maryanoff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B. E. A Novel, Potent Dual Inhibitor of the Leukocyte Proteases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Cathepsin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 and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Chymase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Journal of Biological Chemistry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2005, Vol. 280, no. 18, pp. 18001-18007.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10.1074/jbc.m501302200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Demedts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I. K.,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Demoor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Bracke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K. R.,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Joos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G. F.,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Brusselle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G. G. Role of apoptosis in the pathogenesis of COPD and pulmonary emphysema.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Respiratory Research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2006, Vol. 7, no. 1, p. 53.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10.1186/1465-9921-7-53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12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de Veer S. J., Wang C. K., Harris J. M., Craik D. J.,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Swedberg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 E. Improving the Selectivity of Engineered Protease Inhibitors: Optimizing the P2 Prime Residue Using a Versatile Cyclic Peptide Library.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Journal of Medicinal Chemistry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2015, Vol. 58, no. 20, pp. 8257-8268.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10.1021/acs.jmedchem.5b01148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13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Dillon T. J., Walsh R. L.,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Scicchitano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R., Eckert B., Cleary E. G.,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Mclennan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G. Plasma Elastin-derived Peptide Levels in Normal Adults, Children, and Emphysematous Subjects: Physiologic and Computed Tomographic Scan Correlates.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American Review of Respiratory Disease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1992, Vol. 146, no. 5, pp. 1143-1148, 1992.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7355" w:rsidRPr="007A5B25" w:rsidRDefault="00D77355" w:rsidP="00D7735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10.1164/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ajrccm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/146.5_pt_1.1143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Gadek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 E.,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Pacht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E. R. The protease-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antiprotease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balance within the human lung: Implications for the pathogenesis of emphysema.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Lung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1990, Vol. 168, no. 1, pp. 552-564.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Style w:val="selectable"/>
                <w:rFonts w:ascii="Times New Roman" w:hAnsi="Times New Roman" w:cs="Times New Roman"/>
                <w:sz w:val="28"/>
                <w:szCs w:val="28"/>
                <w:lang w:val="en-US"/>
              </w:rPr>
              <w:t>10.1007/bf02718178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15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Gogebakan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Bayraktar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Ulaslı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Oztuzcu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Tasdemir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Bayram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H. The role of bronchial epithelial cell apoptosis in the pathogenesis of COPD.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Molecular Biology Reports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2014, Vol. 41, no. 8, pp. 5321-5327.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10.1007/s11033-014-3403-3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Gudmann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N. S.,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Manon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-Jensen T., Sand J. M. B.,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Diefenbach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C., Sun S.,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Danielsen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Karsdal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M. A.,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Leeming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D. J. Lung tissue destruction by proteinase 3 and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cathepsin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 mediated elastin degradation is elevated in chronic obstructive pulmonary disease.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Biochemical and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lastRenderedPageBreak/>
              <w:t>Biophysical Research Communications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2018, vol. 503, no. 3, pp. 1284-1290.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10.1016/j.bbrc.2018.07.038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17.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Hautamaki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R. D., Kobayashi D. K., Senior R. M., Shapiro, S. D. Requirement for Macrophage Elastase for Cigarette Smoke-Induced Emphysema in Mice.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Science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Vol. 277, no. 5334, pp. 2002-2004.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10.1126/science.277.5334.2002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Heinz A., Jung M. C.,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Jahreis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Rusciani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Duca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Debelle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L., Weiss A. S.,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Neubert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R. H.,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Schmelzer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C. E. The action of neutrophil serine proteases on elastin and its precursor.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Biochimie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2012, Vol. 94, no. 1, pp. 192-202.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10.1016/j.biochi.2011.10.006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19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Jiang X.,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D’Armiento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Mallampalli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R. K., Mar J., Yan S., Lin M. Expression of Plasma Phospholipid Transfer Protein mRNA in Normal and Emphysematous Lungs and Regulation by Hypoxia.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Journal of Biological Chemistry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1998, Vol. 273, no. 25, pp. 15714-15718.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10.1074/jbc.273.25.15714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Kielty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C. M., Woolley D. E., Whittaker S. P.,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Shuttleworth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C. Catabolism of intact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fibrillin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microfibrils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by neutrophil elastase, chymotrypsin and trypsin.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FEBS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lastRenderedPageBreak/>
              <w:t>Letters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1994, Vol. 351, no. 1, pp. 85-89.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10.1016/0014-5793(94)00818-3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21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Kosikowska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P., Lesner A. Inhibitors of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cathepsin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G: a patent review (2005 to present).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Expert Opinion on Therapeutic Patents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2013, Vol. 23, no. 12, pp. 1611-1624.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3860" w:rsidRPr="007A5B25" w:rsidRDefault="00233860" w:rsidP="00233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10.1517/13543776.2013.835397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587E" w:rsidRPr="007A5B25" w:rsidRDefault="001E587E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587E" w:rsidRPr="007A5B25" w:rsidRDefault="001E587E" w:rsidP="001E587E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Lamprecht</w:t>
            </w:r>
            <w:proofErr w:type="spellEnd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McBurnie</w:t>
            </w:r>
            <w:proofErr w:type="spellEnd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A., Vollmer W. M., </w:t>
            </w:r>
            <w:proofErr w:type="spellStart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Gudmundsson</w:t>
            </w:r>
            <w:proofErr w:type="spellEnd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Welte</w:t>
            </w:r>
            <w:proofErr w:type="spellEnd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Nizankowska-Mogilnicka</w:t>
            </w:r>
            <w:proofErr w:type="spellEnd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Studnicka</w:t>
            </w:r>
            <w:proofErr w:type="spellEnd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Bateman E., </w:t>
            </w:r>
            <w:proofErr w:type="spellStart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Anto</w:t>
            </w:r>
            <w:proofErr w:type="spellEnd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M., Burney P., </w:t>
            </w:r>
            <w:proofErr w:type="spellStart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Mannino</w:t>
            </w:r>
            <w:proofErr w:type="spellEnd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 M., </w:t>
            </w:r>
            <w:proofErr w:type="spellStart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Buist</w:t>
            </w:r>
            <w:proofErr w:type="spellEnd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A. </w:t>
            </w:r>
            <w:r w:rsidRPr="007A5B25">
              <w:rPr>
                <w:rStyle w:val="selectable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COPD in Never Smokers. </w:t>
            </w:r>
            <w:r w:rsidRPr="007A5B25">
              <w:rPr>
                <w:rStyle w:val="selectable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Chest</w:t>
            </w:r>
            <w:r w:rsidRPr="007A5B25">
              <w:rPr>
                <w:rStyle w:val="selectable"/>
                <w:rFonts w:ascii="Times New Roman" w:hAnsi="Times New Roman" w:cs="Times New Roman"/>
                <w:sz w:val="28"/>
                <w:szCs w:val="28"/>
                <w:lang w:val="en-US"/>
              </w:rPr>
              <w:t>, 2011, Vol. 139, no. 4, pp. 752-763.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587E" w:rsidRPr="007A5B25" w:rsidRDefault="001E587E" w:rsidP="001E58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587E" w:rsidRPr="007A5B25" w:rsidRDefault="001E587E" w:rsidP="001E58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Style w:val="selectable"/>
                <w:rFonts w:ascii="Times New Roman" w:hAnsi="Times New Roman" w:cs="Times New Roman"/>
                <w:sz w:val="28"/>
                <w:szCs w:val="28"/>
                <w:lang w:val="en-US"/>
              </w:rPr>
              <w:t>10.1378/chest.10-1253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587E" w:rsidRPr="007A5B25" w:rsidRDefault="001E587E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23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587E" w:rsidRPr="007A5B25" w:rsidRDefault="001E587E" w:rsidP="001E58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Łęgowska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Dębowski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D., Lesner A.,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Wysocka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Rolka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K. Introduction of non-natural amino acid residues into the substrate-specific P1 position of trypsin inhibitor SFTI-1 yields potent chymotrypsin and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cathepsin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 inhibitors.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Bioorganic &amp; Medicinal Chemistry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2009, Vol. 17, no. 9, pp. 3302-3307.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587E" w:rsidRPr="007A5B25" w:rsidRDefault="001E587E" w:rsidP="001E58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587E" w:rsidRPr="007A5B25" w:rsidRDefault="001E587E" w:rsidP="001E5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10.1016/j.bmc.2009.03.045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587E" w:rsidRPr="007A5B25" w:rsidRDefault="001E587E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587E" w:rsidRPr="007A5B25" w:rsidRDefault="001E587E" w:rsidP="001E58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Lucas S. D., Costa E.,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Guedes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R. C., Moreira R. Targeting COPD: advances on low-molecular-weight inhibitors of human neutrophil elastase.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Medicinal Research Reviews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2011, Vol. 33, no. 1, pp. 73-101.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587E" w:rsidRPr="007A5B25" w:rsidRDefault="001E587E" w:rsidP="001E58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587E" w:rsidRPr="007A5B25" w:rsidRDefault="001E587E" w:rsidP="001E5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10.1002/med.20247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25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Maryanoff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B. E., de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Garavilla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L., Greco M. N.,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Haertlein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B. J., Wells G. I., Andrade-Gordon P., Abraham W. M. Dual Inhibition of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Cathepsin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 and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Chymase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 Effective in Animal Models of Pulmonary Inflammation.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American Journal of Respiratory and Critical Care Medicine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2010, Vol. 181, no. 3, pp. 247-253.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10.1164/rccm.200904-0627oc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Mathers</w:t>
            </w:r>
            <w:proofErr w:type="spellEnd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 D., </w:t>
            </w:r>
            <w:proofErr w:type="spellStart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Loncar</w:t>
            </w:r>
            <w:proofErr w:type="spellEnd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 M Projections of Global Mortality and Burden of Disease from 2002 to 2030. </w:t>
            </w:r>
            <w:proofErr w:type="spellStart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PLoS</w:t>
            </w:r>
            <w:proofErr w:type="spellEnd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Medicine, 2006, Vol. 3, no. 11, p.442.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doi:10.1371/journal.pmed</w:t>
            </w:r>
            <w:proofErr w:type="gramEnd"/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.0030442</w:t>
            </w:r>
          </w:p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27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Murray C. J. L., Lopez A. D. </w:t>
            </w:r>
            <w:r w:rsidRPr="007A5B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The global burden of disease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="0000698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Cambridge</w:t>
            </w:r>
            <w:r w:rsidR="0000698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ru-RU"/>
              </w:rPr>
              <w:t>:</w:t>
            </w:r>
            <w:r w:rsidRPr="007A5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MA, 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1996, 906 p.</w:t>
            </w:r>
            <w:bookmarkStart w:id="0" w:name="_GoBack"/>
            <w:bookmarkEnd w:id="0"/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28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Muzio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Stockwell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B. R.,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Stennicke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H. R., Salvesen G. S., Dixit V. M. An Induced Proximity Model for Caspase-8 Activation.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Journal of Biological Chemistry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1998, Vol. 273, no. 5, pp. 2926-2930.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Style w:val="selectable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10.1074/jbc.273.5.2926  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29.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Oram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 F.,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Wolfbauer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G., Tang C., Davidson W. S., Albers J. J. An Amphipathic Helical Region of the N-terminal Barrel of 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Phospholipid Transfer Protein Is Critical for ABCA1-dependent Cholesterol Efflux.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Journal of Biological Chemistry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2008, Vol. 283, no. 17, pp. 11541-11549.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10.1074/jbc.m800117200</w:t>
            </w:r>
          </w:p>
        </w:tc>
      </w:tr>
      <w:tr w:rsidR="007A5B25" w:rsidRPr="0000698D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</w:t>
            </w:r>
            <w:r w:rsidR="00881934"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Owen C. A. Roles for proteinases in the pathogenesis of chronic obstructive pulmonary disease.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International journal of chronic obstructive pulmonary disease, </w:t>
            </w:r>
            <w:r w:rsidRPr="007A5B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2008,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Vol. 3, no. 2, pp. 253-268.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https://www.ncbi.nlm.nih.gov/pmc/articles/PMC2629972/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7A5B25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31.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Qiu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Y., Zhu J.,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Bandi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Atmar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R. L.,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Hattotuwa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K.,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Guntupalli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K. K., Jeffery P. K. Biopsy Neutrophilia, Neutrophil 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Chemokine and Receptor Gene Expression in Severe Exacerbations of Chronic Obstructive Pulmonary Disease.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American Journal of Respiratory and Critical Care Medicine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2003, Vol. 168, no. 8, pp. 968-975.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10.1164/rccm.200208-794oc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32.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Quimbar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P., Malik U.,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Sommerhoff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C. P.,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Kaas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Q., Chan L. Y., Huang Y.,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Grundhuber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Dunse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K., Craik D. J., Anderson M. A., Daly N. L. High-affinity Cyclic Peptide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Matriptase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Inhibitors.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Journal of Biological Chemistry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2013, Vol. 288, no. 19, pp. 13885-13896.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10.1074/jbc.m113.460030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33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Rønnow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S. R.,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Langholm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L. L., Sand J. M. B.,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Thorlacius-Ussing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Leeming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D. J.,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Manon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-Jensen T., Tal-Singer R., Miller B. E.,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Karsdal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M. A.,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Vestbo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 Specific elastin degradation products are associated with poor outcome in the ECLIPSE COPD cohort.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Scientific Reports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2019, Vol. 9, no. 1.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10.1038/s41598-019-40785-2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34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Schriver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E. E., Davidson J. M., Sutcliffe M. C.,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Swindell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B. B., Bernard G. R. Comparison of Elastin Peptide Concentrations in Body Fluids from Healthy Volunteers, Smokers, and Patients 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with Chronic Obstructive Pulmonary Disease.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American Review of Respiratory Disease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1992, Vol. 145, no. 4, pp. 762-766.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10.1164/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ajrccm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/145.4_pt_1.762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35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Stoller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 K.,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Aboussouan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L. S. A Review of 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α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1-Antitrypsin Deficiency.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American Journal of Respiratory and Critical Care Medicine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2012, Vol. 185, no. 3, pp. 246-259.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10.1164/rccm.201108-1428ci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36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Swedberg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 E., de Veer S. J., Sit K. C., Reboul C. F., Buckle A. M., Harris J. M. Mastering the Canonical Loop of Serine Protease Inhibitors: Enhancing 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Potency by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Optimising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 Internal Hydrogen Bond Network.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PLoS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ONE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2011, Vol. 6, no. 4, p. e19302.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10.1371/journal.pone.0019302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37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Swedberg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 E., Li C. Y., de Veer S. J., Wang C. K., Craik D. J. Design of Potent and Selective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Cathepsin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 Inhibitors Based on the Sunflower Trypsin Inhibitor-1 Scaffold.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Journal of Medicinal Chemistry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2017, Vol. 60, no. 2, pp. 658-667.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10.1021/acs.jmedchem.6b01509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881934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38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Swedberg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 E.,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Nigon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L. V., Reid J. C., de Veer S. J., Walpole C. M., Stephens C. R., Walsh T. P.,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Takayama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T. K., 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Hooper J. D., Clements J. A., Buckle A. M., Harris J. M. Substrate-Guided Design of a Potent and Selective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Kallikrein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-Related Peptidase Inhibitor for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Kallikrein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Chemistry &amp; Biology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2009, Vol. 16, no. 6, pp. 633-643.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3C77" w:rsidRPr="007A5B25" w:rsidRDefault="00593C77" w:rsidP="00593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10.1016/j.chembiol.2009.05.008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39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8819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Swee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M. H., Parks W. C., Pierce R. A. Developmental Regulation of Elastin Production.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Journal of Biological Chemistry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1995, Vol. 270, no. 25, pp. 14899-14906.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8819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8819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10.1074/jbc.270.25.14899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8819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von Nussbaum F., Li V. M. Neutrophil elastase inhibitors for the treatment of (cardio) pulmonary 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diseases: Into clinical testing with pre-adaptive pharmacophores.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Bioorganic &amp; Medicinal Chemistry Letters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2015, Vol. 25, no. 20, pp. 4370-4381.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8819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8819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10.1016/j.bmcl.2015.08.049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41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8819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Vuletic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S., Dong W.,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Wolfbauer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G., Tang C., Albers J. PLTP regulates STAT3 and NF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κ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 in differentiated THP1 cells and human monocyte-derived macrophages. </w:t>
            </w:r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" w:eastAsia="ru-RU"/>
              </w:rPr>
              <w:t>Biochimica et Biophysica Acta (BBA) - Molecular Cell Research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s-ES" w:eastAsia="ru-RU"/>
              </w:rPr>
              <w:t>, 2011, Vol. 1813, no. 10, pp. 1917-1924.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8819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8819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10.1016/j.bbamcr.2011.06.013</w:t>
            </w:r>
          </w:p>
        </w:tc>
      </w:tr>
      <w:tr w:rsidR="007A5B25" w:rsidRPr="007A5B25" w:rsidTr="00593C77">
        <w:trPr>
          <w:trHeight w:val="425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7A5B2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42</w:t>
            </w:r>
            <w:r w:rsid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8819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Wise S. G., Yeo G. C.,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Hiob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M. A.,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Rnjak-Kovacina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J., Kaplan D. L., Ng M. K., Weiss A. S.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Tropoelastin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A versatile, bioactive assembly module.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Acta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5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Biomaterialia</w:t>
            </w:r>
            <w:proofErr w:type="spellEnd"/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2014, Vol. 10, no. 4, pp. 1532-1541.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8819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6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81934" w:rsidRPr="007A5B25" w:rsidRDefault="00881934" w:rsidP="008819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5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r w:rsidRPr="007A5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10.1016/j.actbio.2013.08.003</w:t>
            </w:r>
          </w:p>
        </w:tc>
      </w:tr>
    </w:tbl>
    <w:p w:rsidR="00644A7D" w:rsidRPr="00593C77" w:rsidRDefault="00644A7D">
      <w:pPr>
        <w:rPr>
          <w:lang w:val="en-US"/>
        </w:rPr>
      </w:pPr>
    </w:p>
    <w:sectPr w:rsidR="00644A7D" w:rsidRPr="00593C77" w:rsidSect="001D30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27"/>
    <w:rsid w:val="0000698D"/>
    <w:rsid w:val="000133C0"/>
    <w:rsid w:val="001D3027"/>
    <w:rsid w:val="001E587E"/>
    <w:rsid w:val="00233860"/>
    <w:rsid w:val="002E77ED"/>
    <w:rsid w:val="00593C77"/>
    <w:rsid w:val="00644A7D"/>
    <w:rsid w:val="007A5B25"/>
    <w:rsid w:val="00881934"/>
    <w:rsid w:val="00B06CAA"/>
    <w:rsid w:val="00D7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78A1"/>
  <w15:chartTrackingRefBased/>
  <w15:docId w15:val="{F85EA16F-7558-4EE0-8090-38BD3098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">
    <w:name w:val="selectable"/>
    <w:basedOn w:val="a0"/>
    <w:rsid w:val="00D77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22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rtu670</dc:creator>
  <cp:keywords/>
  <dc:description/>
  <cp:lastModifiedBy>rtu670</cp:lastModifiedBy>
  <cp:revision>6</cp:revision>
  <dcterms:created xsi:type="dcterms:W3CDTF">2019-09-13T12:41:00Z</dcterms:created>
  <dcterms:modified xsi:type="dcterms:W3CDTF">2019-09-14T14:40:00Z</dcterms:modified>
</cp:coreProperties>
</file>