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24" w:type="dxa"/>
        <w:tblLayout w:type="fixed"/>
        <w:tblLook w:val="04A0" w:firstRow="1" w:lastRow="0" w:firstColumn="1" w:lastColumn="0" w:noHBand="0" w:noVBand="1"/>
      </w:tblPr>
      <w:tblGrid>
        <w:gridCol w:w="871"/>
        <w:gridCol w:w="5163"/>
        <w:gridCol w:w="4974"/>
        <w:gridCol w:w="3516"/>
      </w:tblGrid>
      <w:tr w:rsidR="002C56CC" w:rsidRPr="00C47E32" w:rsidTr="00C47E32">
        <w:trPr>
          <w:trHeight w:val="1438"/>
        </w:trPr>
        <w:tc>
          <w:tcPr>
            <w:tcW w:w="871" w:type="dxa"/>
            <w:vAlign w:val="center"/>
          </w:tcPr>
          <w:p w:rsidR="002C56CC" w:rsidRPr="00C47E32" w:rsidRDefault="00602628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</w:rPr>
              <w:t>№</w:t>
            </w:r>
          </w:p>
        </w:tc>
        <w:tc>
          <w:tcPr>
            <w:tcW w:w="5163" w:type="dxa"/>
            <w:vAlign w:val="center"/>
          </w:tcPr>
          <w:p w:rsidR="002C56CC" w:rsidRPr="00C47E32" w:rsidRDefault="004A634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</w:rPr>
              <w:t>Авторы, название публикации, где она опубликована, выходные данные</w:t>
            </w:r>
          </w:p>
        </w:tc>
        <w:tc>
          <w:tcPr>
            <w:tcW w:w="4974" w:type="dxa"/>
            <w:vAlign w:val="center"/>
          </w:tcPr>
          <w:p w:rsidR="002C56CC" w:rsidRPr="00C47E32" w:rsidRDefault="004A634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</w:rPr>
              <w:t>ФИО, название публикации, на англ</w:t>
            </w:r>
            <w:r w:rsidR="00602628" w:rsidRPr="00C47E32">
              <w:rPr>
                <w:sz w:val="28"/>
                <w:szCs w:val="28"/>
              </w:rPr>
              <w:t>.</w:t>
            </w:r>
          </w:p>
        </w:tc>
        <w:tc>
          <w:tcPr>
            <w:tcW w:w="3516" w:type="dxa"/>
            <w:vAlign w:val="center"/>
          </w:tcPr>
          <w:p w:rsidR="002C56CC" w:rsidRPr="00C47E32" w:rsidRDefault="004A634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</w:rPr>
              <w:t>Полный интернет адрес</w:t>
            </w:r>
            <w:r w:rsidR="003B16A8" w:rsidRPr="00C47E32">
              <w:rPr>
                <w:sz w:val="28"/>
                <w:szCs w:val="28"/>
                <w:lang w:val="en-US"/>
              </w:rPr>
              <w:t>,</w:t>
            </w:r>
          </w:p>
          <w:p w:rsidR="003B16A8" w:rsidRPr="00C47E32" w:rsidRDefault="003B16A8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DOI</w:t>
            </w:r>
          </w:p>
        </w:tc>
      </w:tr>
      <w:tr w:rsidR="002C56CC" w:rsidRPr="00C47E32" w:rsidTr="00C47E32">
        <w:trPr>
          <w:trHeight w:val="2595"/>
        </w:trPr>
        <w:tc>
          <w:tcPr>
            <w:tcW w:w="871" w:type="dxa"/>
          </w:tcPr>
          <w:p w:rsidR="002C56CC" w:rsidRPr="00C47E32" w:rsidRDefault="004A634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</w:rPr>
              <w:t>1</w:t>
            </w:r>
          </w:p>
        </w:tc>
        <w:tc>
          <w:tcPr>
            <w:tcW w:w="5163" w:type="dxa"/>
          </w:tcPr>
          <w:p w:rsidR="002C56CC" w:rsidRPr="00C47E32" w:rsidRDefault="0033204F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E32">
              <w:rPr>
                <w:rFonts w:cs="Times New Roman"/>
                <w:noProof/>
                <w:sz w:val="28"/>
                <w:szCs w:val="28"/>
              </w:rPr>
              <w:t>Алексеева Л.А., Железникова Г.Ф., Жирков А.А, Скрипченко Н.В., Вильниц А.А., Монахова Н.Е., Бессонова Т.В.</w:t>
            </w:r>
            <w:r w:rsidR="004A634B" w:rsidRPr="00C47E32">
              <w:rPr>
                <w:rFonts w:cs="Times New Roman"/>
                <w:noProof/>
                <w:sz w:val="28"/>
                <w:szCs w:val="28"/>
              </w:rPr>
              <w:t xml:space="preserve"> Субпопуляции лимфоцитов и цитокины в крови и цереброспинальной жидкости при вирусных и бактериальных </w:t>
            </w:r>
            <w:r w:rsidRPr="00C47E32">
              <w:rPr>
                <w:rFonts w:cs="Times New Roman"/>
                <w:noProof/>
                <w:sz w:val="28"/>
                <w:szCs w:val="28"/>
              </w:rPr>
              <w:t>менингитах у детей // Инфекция и иммунитет. - 2016. - Т. 6, № 1. - С.33-44.</w:t>
            </w:r>
          </w:p>
        </w:tc>
        <w:tc>
          <w:tcPr>
            <w:tcW w:w="4974" w:type="dxa"/>
          </w:tcPr>
          <w:p w:rsidR="002C56CC" w:rsidRPr="00C47E32" w:rsidRDefault="00350D16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Alekseeva L.A.,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Zheleznikova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G.F.,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Zhirkov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Skripchenko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N.V.,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Vilnits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Monakhova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N.E.,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Bessonova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T.V. L</w:t>
            </w:r>
            <w:r w:rsidR="00714C3C"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ymphocyte subsets and </w:t>
            </w:r>
            <w:r w:rsidR="00541761" w:rsidRPr="00C47E32">
              <w:rPr>
                <w:color w:val="000000" w:themeColor="text1"/>
                <w:sz w:val="28"/>
                <w:szCs w:val="28"/>
                <w:lang w:val="en-US"/>
              </w:rPr>
              <w:t>cytokines</w:t>
            </w:r>
            <w:r w:rsidR="00384F9C"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in blood and cerebrospinal fluid in children with viral and bacterial meningitis.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Russian Jo</w:t>
            </w:r>
            <w:r w:rsidR="00384F9C" w:rsidRPr="00C47E32">
              <w:rPr>
                <w:color w:val="000000" w:themeColor="text1"/>
                <w:sz w:val="28"/>
                <w:szCs w:val="28"/>
                <w:lang w:val="en-US"/>
              </w:rPr>
              <w:t>urnal of Infection and Immunity,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2016</w:t>
            </w:r>
            <w:r w:rsidR="00384F9C"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, Vol. 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="00384F9C"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, no. 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384F9C"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, pp. 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33-44.</w:t>
            </w:r>
          </w:p>
        </w:tc>
        <w:tc>
          <w:tcPr>
            <w:tcW w:w="3516" w:type="dxa"/>
          </w:tcPr>
          <w:p w:rsidR="002C56CC" w:rsidRPr="00C47E32" w:rsidRDefault="00384F9C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47E32">
              <w:rPr>
                <w:rStyle w:val="a4"/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[</w:t>
            </w:r>
            <w:hyperlink r:id="rId4" w:history="1">
              <w:r w:rsidR="00350D16" w:rsidRPr="00C47E32">
                <w:rPr>
                  <w:rStyle w:val="a4"/>
                  <w:rFonts w:cs="Times New Roman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w:t>https://doi.org/10.15789/2220-7619-2016-1-33-44</w:t>
              </w:r>
            </w:hyperlink>
            <w:r w:rsidRPr="00C47E32">
              <w:rPr>
                <w:rStyle w:val="a4"/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</w:tr>
      <w:tr w:rsidR="002C56CC" w:rsidRPr="00C47E32" w:rsidTr="00C47E32">
        <w:trPr>
          <w:trHeight w:val="731"/>
        </w:trPr>
        <w:tc>
          <w:tcPr>
            <w:tcW w:w="871" w:type="dxa"/>
          </w:tcPr>
          <w:p w:rsidR="002C56CC" w:rsidRPr="00C47E32" w:rsidRDefault="004A634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63" w:type="dxa"/>
          </w:tcPr>
          <w:p w:rsidR="002C56CC" w:rsidRPr="00C47E32" w:rsidRDefault="0033204F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E32">
              <w:rPr>
                <w:rFonts w:cs="Times New Roman"/>
                <w:noProof/>
                <w:sz w:val="28"/>
                <w:szCs w:val="28"/>
              </w:rPr>
              <w:t>Балмасова И.П., Венгеров Ю.Я., Раздобарина С.Е, Нагибина М.В.</w:t>
            </w:r>
            <w:r w:rsidR="004A634B" w:rsidRPr="00C47E32">
              <w:rPr>
                <w:rFonts w:cs="Times New Roman"/>
                <w:noProof/>
                <w:sz w:val="28"/>
                <w:szCs w:val="28"/>
              </w:rPr>
              <w:t xml:space="preserve"> Иммунопатогенетические особенности бак</w:t>
            </w:r>
            <w:r w:rsidRPr="00C47E32">
              <w:rPr>
                <w:rFonts w:cs="Times New Roman"/>
                <w:noProof/>
                <w:sz w:val="28"/>
                <w:szCs w:val="28"/>
              </w:rPr>
              <w:t xml:space="preserve">териальных гнойных менингитов </w:t>
            </w:r>
            <w:r w:rsidR="004A634B" w:rsidRPr="00C47E32">
              <w:rPr>
                <w:rFonts w:cs="Times New Roman"/>
                <w:noProof/>
                <w:sz w:val="28"/>
                <w:szCs w:val="28"/>
              </w:rPr>
              <w:t xml:space="preserve">// Эпидемиология и </w:t>
            </w:r>
            <w:bookmarkStart w:id="0" w:name="_GoBack"/>
            <w:bookmarkEnd w:id="0"/>
            <w:r w:rsidR="004A634B" w:rsidRPr="00C47E32">
              <w:rPr>
                <w:rFonts w:cs="Times New Roman"/>
                <w:noProof/>
                <w:sz w:val="28"/>
                <w:szCs w:val="28"/>
              </w:rPr>
              <w:t>инфекционные болезни</w:t>
            </w:r>
            <w:r w:rsidRPr="00C47E32">
              <w:rPr>
                <w:rFonts w:cs="Times New Roman"/>
                <w:noProof/>
                <w:sz w:val="28"/>
                <w:szCs w:val="28"/>
              </w:rPr>
              <w:t>. - 2014. - Т. 19, № 5. - С. 17-22</w:t>
            </w:r>
            <w:r w:rsidR="004A634B" w:rsidRPr="00C47E32">
              <w:rPr>
                <w:rFonts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4974" w:type="dxa"/>
          </w:tcPr>
          <w:p w:rsidR="002C56CC" w:rsidRPr="00C47E32" w:rsidRDefault="00384F9C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47E32">
              <w:rPr>
                <w:sz w:val="28"/>
                <w:szCs w:val="28"/>
                <w:lang w:val="en-US"/>
              </w:rPr>
              <w:t>Balmasova</w:t>
            </w:r>
            <w:proofErr w:type="spellEnd"/>
            <w:r w:rsidRPr="00C47E32">
              <w:rPr>
                <w:sz w:val="28"/>
                <w:szCs w:val="28"/>
                <w:lang w:val="en-US"/>
              </w:rPr>
              <w:t xml:space="preserve"> I.P., </w:t>
            </w:r>
            <w:proofErr w:type="spellStart"/>
            <w:r w:rsidRPr="00C47E32">
              <w:rPr>
                <w:sz w:val="28"/>
                <w:szCs w:val="28"/>
                <w:lang w:val="en-US"/>
              </w:rPr>
              <w:t>Vengerov</w:t>
            </w:r>
            <w:proofErr w:type="spellEnd"/>
            <w:r w:rsidRPr="00C47E32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47E32">
              <w:rPr>
                <w:sz w:val="28"/>
                <w:szCs w:val="28"/>
                <w:lang w:val="en-US"/>
              </w:rPr>
              <w:t>Yu.Ya</w:t>
            </w:r>
            <w:proofErr w:type="spellEnd"/>
            <w:r w:rsidRPr="00C47E32">
              <w:rPr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C47E32">
              <w:rPr>
                <w:sz w:val="28"/>
                <w:szCs w:val="28"/>
                <w:lang w:val="en-US"/>
              </w:rPr>
              <w:t>Razdobarina</w:t>
            </w:r>
            <w:proofErr w:type="spellEnd"/>
            <w:r w:rsidRPr="00C47E32">
              <w:rPr>
                <w:sz w:val="28"/>
                <w:szCs w:val="28"/>
                <w:lang w:val="en-US"/>
              </w:rPr>
              <w:t xml:space="preserve">  S.E., </w:t>
            </w:r>
            <w:proofErr w:type="spellStart"/>
            <w:r w:rsidRPr="00C47E32">
              <w:rPr>
                <w:sz w:val="28"/>
                <w:szCs w:val="28"/>
                <w:lang w:val="en-US"/>
              </w:rPr>
              <w:t>Nagibina</w:t>
            </w:r>
            <w:proofErr w:type="spellEnd"/>
            <w:r w:rsidRPr="00C47E32">
              <w:rPr>
                <w:sz w:val="28"/>
                <w:szCs w:val="28"/>
                <w:lang w:val="en-US"/>
              </w:rPr>
              <w:t xml:space="preserve"> M.V. </w:t>
            </w:r>
            <w:proofErr w:type="spellStart"/>
            <w:r w:rsidRPr="00C47E32">
              <w:rPr>
                <w:sz w:val="28"/>
                <w:szCs w:val="28"/>
                <w:lang w:val="en-US"/>
              </w:rPr>
              <w:t>Immunopathogenetic</w:t>
            </w:r>
            <w:proofErr w:type="spellEnd"/>
            <w:r w:rsidRPr="00C47E32">
              <w:rPr>
                <w:sz w:val="28"/>
                <w:szCs w:val="28"/>
                <w:lang w:val="en-US"/>
              </w:rPr>
              <w:t xml:space="preserve"> features of </w:t>
            </w:r>
            <w:r w:rsidR="00621587" w:rsidRPr="00C47E32">
              <w:rPr>
                <w:sz w:val="28"/>
                <w:szCs w:val="28"/>
                <w:lang w:val="en-US"/>
              </w:rPr>
              <w:t>bacterial</w:t>
            </w:r>
            <w:r w:rsidRPr="00C47E32">
              <w:rPr>
                <w:sz w:val="28"/>
                <w:szCs w:val="28"/>
                <w:lang w:val="en-US"/>
              </w:rPr>
              <w:t xml:space="preserve"> purulent meningitides. </w:t>
            </w:r>
            <w:r w:rsidR="00621587" w:rsidRPr="00C47E32">
              <w:rPr>
                <w:sz w:val="28"/>
                <w:szCs w:val="28"/>
                <w:lang w:val="en-US"/>
              </w:rPr>
              <w:t>Epidemiology and Infectious Diseases. 2014, Vol. 19, no. 5, pp. 17-22.</w:t>
            </w:r>
          </w:p>
        </w:tc>
        <w:tc>
          <w:tcPr>
            <w:tcW w:w="3516" w:type="dxa"/>
          </w:tcPr>
          <w:p w:rsidR="00FF6D5F" w:rsidRPr="00C47E32" w:rsidRDefault="00C47E32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hyperlink r:id="rId5" w:history="1">
              <w:r w:rsidR="00FF6D5F" w:rsidRPr="00C47E32">
                <w:rPr>
                  <w:rStyle w:val="a4"/>
                  <w:sz w:val="28"/>
                  <w:szCs w:val="28"/>
                  <w:lang w:val="en-US"/>
                </w:rPr>
                <w:t>http://www.medlit.ru/journalsview/infections/view/journal/2014/issue-5/19-immunopatogeneticheskie-osobennosti-bakterial-nyh-gnoynyh-meningitov/</w:t>
              </w:r>
            </w:hyperlink>
          </w:p>
        </w:tc>
      </w:tr>
      <w:tr w:rsidR="002C56CC" w:rsidRPr="00C47E32" w:rsidTr="00C47E32">
        <w:trPr>
          <w:trHeight w:val="263"/>
        </w:trPr>
        <w:tc>
          <w:tcPr>
            <w:tcW w:w="871" w:type="dxa"/>
          </w:tcPr>
          <w:p w:rsidR="002C56CC" w:rsidRPr="00C47E32" w:rsidRDefault="004A634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</w:rPr>
              <w:t>3</w:t>
            </w:r>
          </w:p>
        </w:tc>
        <w:tc>
          <w:tcPr>
            <w:tcW w:w="5163" w:type="dxa"/>
          </w:tcPr>
          <w:p w:rsidR="002C56CC" w:rsidRPr="00C47E32" w:rsidRDefault="0033204F" w:rsidP="00C47E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 w:val="28"/>
                <w:szCs w:val="28"/>
              </w:rPr>
            </w:pPr>
            <w:r w:rsidRPr="00C47E32">
              <w:rPr>
                <w:rFonts w:cs="Times New Roman"/>
                <w:noProof/>
                <w:sz w:val="28"/>
                <w:szCs w:val="28"/>
              </w:rPr>
              <w:t>Скрипченко Н.В., Алексеева Л.А., Железникова Г.Ф.</w:t>
            </w:r>
            <w:r w:rsidR="004A634B" w:rsidRPr="00C47E32">
              <w:rPr>
                <w:rFonts w:cs="Times New Roman"/>
                <w:noProof/>
                <w:sz w:val="28"/>
                <w:szCs w:val="28"/>
              </w:rPr>
              <w:t xml:space="preserve"> Ликвор и его клиническое значение при инфекционных заболеваниях </w:t>
            </w:r>
            <w:r w:rsidRPr="00C47E32">
              <w:rPr>
                <w:rFonts w:cs="Times New Roman"/>
                <w:noProof/>
                <w:sz w:val="28"/>
                <w:szCs w:val="28"/>
              </w:rPr>
              <w:t>нервной системы</w:t>
            </w:r>
            <w:r w:rsidR="004A634B" w:rsidRPr="00C47E32">
              <w:rPr>
                <w:rFonts w:cs="Times New Roman"/>
                <w:noProof/>
                <w:sz w:val="28"/>
                <w:szCs w:val="28"/>
              </w:rPr>
              <w:t xml:space="preserve"> // Педиатр</w:t>
            </w:r>
            <w:r w:rsidRPr="00C47E32">
              <w:rPr>
                <w:rFonts w:cs="Times New Roman"/>
                <w:noProof/>
                <w:sz w:val="28"/>
                <w:szCs w:val="28"/>
              </w:rPr>
              <w:t>. -</w:t>
            </w:r>
            <w:r w:rsidR="004A634B" w:rsidRPr="00C47E32">
              <w:rPr>
                <w:rFonts w:cs="Times New Roman"/>
                <w:noProof/>
                <w:sz w:val="28"/>
                <w:szCs w:val="28"/>
              </w:rPr>
              <w:t xml:space="preserve"> 2</w:t>
            </w:r>
            <w:r w:rsidRPr="00C47E32">
              <w:rPr>
                <w:rFonts w:cs="Times New Roman"/>
                <w:noProof/>
                <w:sz w:val="28"/>
                <w:szCs w:val="28"/>
              </w:rPr>
              <w:t>011. - Т. 2, № 3. - С. 21-31.</w:t>
            </w:r>
          </w:p>
        </w:tc>
        <w:tc>
          <w:tcPr>
            <w:tcW w:w="4974" w:type="dxa"/>
          </w:tcPr>
          <w:p w:rsidR="002C56CC" w:rsidRPr="00C47E32" w:rsidRDefault="00B62664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Skripchenko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N.V., Alekseeva L.A.,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Zheleznikova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G.F. Liquor and its clinical meaning in </w:t>
            </w:r>
            <w:r w:rsidR="00541761" w:rsidRPr="00C47E32">
              <w:rPr>
                <w:color w:val="000000" w:themeColor="text1"/>
                <w:sz w:val="28"/>
                <w:szCs w:val="28"/>
                <w:lang w:val="en-US"/>
              </w:rPr>
              <w:t>infectious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 xml:space="preserve"> diseases of nervous system.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Pediatr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Sankt</w:t>
            </w:r>
            <w:r w:rsidRPr="00C47E3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Peterburg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</w:rPr>
              <w:t xml:space="preserve">), 2011, 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Vol</w:t>
            </w:r>
            <w:r w:rsidRPr="00C47E32">
              <w:rPr>
                <w:color w:val="000000" w:themeColor="text1"/>
                <w:sz w:val="28"/>
                <w:szCs w:val="28"/>
              </w:rPr>
              <w:t xml:space="preserve">. 2, </w:t>
            </w:r>
            <w:proofErr w:type="spellStart"/>
            <w:r w:rsidRPr="00C47E32">
              <w:rPr>
                <w:color w:val="000000" w:themeColor="text1"/>
                <w:sz w:val="28"/>
                <w:szCs w:val="28"/>
              </w:rPr>
              <w:t>no</w:t>
            </w:r>
            <w:proofErr w:type="spellEnd"/>
            <w:r w:rsidRPr="00C47E32">
              <w:rPr>
                <w:color w:val="000000" w:themeColor="text1"/>
                <w:sz w:val="28"/>
                <w:szCs w:val="28"/>
              </w:rPr>
              <w:t xml:space="preserve">. 3, 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pp</w:t>
            </w:r>
            <w:r w:rsidRPr="00C47E32">
              <w:rPr>
                <w:color w:val="000000" w:themeColor="text1"/>
                <w:sz w:val="28"/>
                <w:szCs w:val="28"/>
              </w:rPr>
              <w:t>. 2</w:t>
            </w:r>
            <w:r w:rsidRPr="00C47E32">
              <w:rPr>
                <w:color w:val="000000" w:themeColor="text1"/>
                <w:sz w:val="28"/>
                <w:szCs w:val="28"/>
                <w:lang w:val="en-US"/>
              </w:rPr>
              <w:t>1-31.</w:t>
            </w:r>
          </w:p>
        </w:tc>
        <w:tc>
          <w:tcPr>
            <w:tcW w:w="3516" w:type="dxa"/>
          </w:tcPr>
          <w:p w:rsidR="002C56CC" w:rsidRPr="00C47E32" w:rsidRDefault="00C47E32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6" w:history="1">
              <w:r w:rsidR="00BB7A31" w:rsidRPr="00C47E32">
                <w:rPr>
                  <w:rStyle w:val="a4"/>
                  <w:sz w:val="28"/>
                  <w:szCs w:val="28"/>
                </w:rPr>
                <w:t>https://elibrary.ru/item.asp?id=17661151</w:t>
              </w:r>
            </w:hyperlink>
          </w:p>
          <w:p w:rsidR="00BB7A31" w:rsidRPr="00C47E32" w:rsidRDefault="00BB7A31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B7A31" w:rsidRPr="00C47E32" w:rsidRDefault="00BB7A31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40CDF" w:rsidRPr="00C47E32" w:rsidTr="00C47E32">
        <w:trPr>
          <w:trHeight w:val="765"/>
        </w:trPr>
        <w:tc>
          <w:tcPr>
            <w:tcW w:w="871" w:type="dxa"/>
          </w:tcPr>
          <w:p w:rsidR="00940CDF" w:rsidRPr="00C47E32" w:rsidRDefault="00940CDF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</w:rPr>
              <w:t>4</w:t>
            </w:r>
          </w:p>
        </w:tc>
        <w:tc>
          <w:tcPr>
            <w:tcW w:w="5163" w:type="dxa"/>
          </w:tcPr>
          <w:p w:rsidR="00940CDF" w:rsidRPr="00C47E32" w:rsidRDefault="00940CDF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47E32">
              <w:rPr>
                <w:sz w:val="28"/>
                <w:szCs w:val="28"/>
              </w:rPr>
              <w:t>Хайдуков</w:t>
            </w:r>
            <w:proofErr w:type="spellEnd"/>
            <w:r w:rsidRPr="00C47E32">
              <w:rPr>
                <w:sz w:val="28"/>
                <w:szCs w:val="28"/>
              </w:rPr>
              <w:t xml:space="preserve"> С.В.</w:t>
            </w:r>
            <w:r w:rsidR="008E7B65" w:rsidRPr="00C47E32">
              <w:rPr>
                <w:sz w:val="28"/>
                <w:szCs w:val="28"/>
              </w:rPr>
              <w:t xml:space="preserve">, </w:t>
            </w:r>
            <w:proofErr w:type="spellStart"/>
            <w:r w:rsidR="008E7B65" w:rsidRPr="00C47E32">
              <w:rPr>
                <w:sz w:val="28"/>
                <w:szCs w:val="28"/>
              </w:rPr>
              <w:t>Байдун</w:t>
            </w:r>
            <w:proofErr w:type="spellEnd"/>
            <w:r w:rsidR="008E7B65" w:rsidRPr="00C47E32">
              <w:rPr>
                <w:sz w:val="28"/>
                <w:szCs w:val="28"/>
              </w:rPr>
              <w:t xml:space="preserve"> Л.</w:t>
            </w:r>
            <w:r w:rsidR="0033204F" w:rsidRPr="00C47E32">
              <w:rPr>
                <w:sz w:val="28"/>
                <w:szCs w:val="28"/>
              </w:rPr>
              <w:t xml:space="preserve">В. </w:t>
            </w:r>
            <w:r w:rsidRPr="00C47E32">
              <w:rPr>
                <w:sz w:val="28"/>
                <w:szCs w:val="28"/>
              </w:rPr>
              <w:t>Современные подходы к оценке клеточной с</w:t>
            </w:r>
            <w:r w:rsidR="0033204F" w:rsidRPr="00C47E32">
              <w:rPr>
                <w:sz w:val="28"/>
                <w:szCs w:val="28"/>
              </w:rPr>
              <w:t xml:space="preserve">оставляющей иммунного статуса </w:t>
            </w:r>
            <w:r w:rsidRPr="00C47E32">
              <w:rPr>
                <w:sz w:val="28"/>
                <w:szCs w:val="28"/>
              </w:rPr>
              <w:t>// Медицинский алфавит</w:t>
            </w:r>
            <w:r w:rsidR="0033204F" w:rsidRPr="00C47E32">
              <w:rPr>
                <w:sz w:val="28"/>
                <w:szCs w:val="28"/>
              </w:rPr>
              <w:t xml:space="preserve">. - 2015. </w:t>
            </w:r>
            <w:r w:rsidR="0033204F" w:rsidRPr="00C47E32">
              <w:rPr>
                <w:sz w:val="28"/>
                <w:szCs w:val="28"/>
              </w:rPr>
              <w:lastRenderedPageBreak/>
              <w:t>– Т. 2,</w:t>
            </w:r>
            <w:r w:rsidRPr="00C47E32">
              <w:rPr>
                <w:sz w:val="28"/>
                <w:szCs w:val="28"/>
              </w:rPr>
              <w:t xml:space="preserve"> № 8</w:t>
            </w:r>
            <w:r w:rsidR="0033204F" w:rsidRPr="00C47E32">
              <w:rPr>
                <w:sz w:val="28"/>
                <w:szCs w:val="28"/>
              </w:rPr>
              <w:t>.- С.</w:t>
            </w:r>
            <w:r w:rsidRPr="00C47E32">
              <w:rPr>
                <w:sz w:val="28"/>
                <w:szCs w:val="28"/>
              </w:rPr>
              <w:t xml:space="preserve"> 44–51.</w:t>
            </w:r>
          </w:p>
        </w:tc>
        <w:tc>
          <w:tcPr>
            <w:tcW w:w="4974" w:type="dxa"/>
          </w:tcPr>
          <w:p w:rsidR="00940CDF" w:rsidRPr="00C47E32" w:rsidRDefault="00D3311B" w:rsidP="00C47E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sz w:val="28"/>
                <w:szCs w:val="28"/>
                <w:lang w:val="en-US"/>
              </w:rPr>
              <w:lastRenderedPageBreak/>
              <w:t xml:space="preserve">Khaidukov S.V., Baydun L.V. Modern approach to assessing cellular constituents immune status. Medical Alphabet, 2015, Vol. 2, no. 8, pp. 44-51. </w:t>
            </w:r>
          </w:p>
        </w:tc>
        <w:tc>
          <w:tcPr>
            <w:tcW w:w="3516" w:type="dxa"/>
          </w:tcPr>
          <w:p w:rsidR="00940CDF" w:rsidRPr="00C47E32" w:rsidRDefault="00C47E32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hyperlink r:id="rId7" w:history="1">
              <w:r w:rsidR="00D3311B" w:rsidRPr="00C47E32">
                <w:rPr>
                  <w:rStyle w:val="a4"/>
                  <w:sz w:val="28"/>
                  <w:szCs w:val="28"/>
                  <w:lang w:val="en-US"/>
                </w:rPr>
                <w:t>https://elibrary.ru/item.asp?id=23874840</w:t>
              </w:r>
            </w:hyperlink>
          </w:p>
          <w:p w:rsidR="00D3311B" w:rsidRPr="00C47E32" w:rsidRDefault="00D3311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1754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163" w:type="dxa"/>
          </w:tcPr>
          <w:p w:rsidR="00DD46FB" w:rsidRPr="00C47E32" w:rsidRDefault="00714C3C" w:rsidP="00C47E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Alvermann S., Hennig C., Olaf S., Heinz W., Stangel M. 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Immunophenotyping of Cerebrospinal Fluid Cells in Multiple Scl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erosis In Search of Biomarkers. JAMA Neurology., 2</w:t>
            </w:r>
            <w:r w:rsidR="00FC1372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01</w:t>
            </w:r>
            <w:r w:rsidR="00FC1372" w:rsidRPr="00C47E32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t>4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Vol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. 71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no. 7, pp. 905-912.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3516" w:type="dxa"/>
          </w:tcPr>
          <w:p w:rsidR="00D3311B" w:rsidRPr="00C47E32" w:rsidRDefault="00F86653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[</w:t>
            </w:r>
            <w:r w:rsidRPr="00C47E32">
              <w:rPr>
                <w:sz w:val="28"/>
                <w:szCs w:val="28"/>
              </w:rPr>
              <w:t>DOI:</w:t>
            </w:r>
            <w:hyperlink r:id="rId8" w:tgtFrame="_blank" w:history="1">
              <w:r w:rsidRPr="00C47E32">
                <w:rPr>
                  <w:rStyle w:val="a4"/>
                  <w:sz w:val="28"/>
                  <w:szCs w:val="28"/>
                </w:rPr>
                <w:t>10.1001/jamaneurol.2014.395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</w:tc>
      </w:tr>
      <w:tr w:rsidR="00DD46FB" w:rsidRPr="00C47E32" w:rsidTr="00C47E32">
        <w:trPr>
          <w:trHeight w:val="1361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163" w:type="dxa"/>
          </w:tcPr>
          <w:p w:rsidR="00DD46FB" w:rsidRPr="00C47E32" w:rsidRDefault="00F86653" w:rsidP="00C47E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Campbell J.P., Guy K.</w:t>
            </w:r>
            <w:r w:rsidR="008E7B65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Cosgrove C., Florida-James G.D., Simpson R.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J. 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Total lymphocyte CD8 expression is not a reliable marker of cytotoxic T-cell populations in human peripheral blood following an acute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bout of high-intensity exercise.</w:t>
            </w:r>
            <w:r w:rsidR="00DD46FB" w:rsidRPr="00C47E32"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Brain. Behav. Immun.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D46FB" w:rsidRPr="00C47E32"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2008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Vol.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22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no.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3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pp. 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375–380.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3516" w:type="dxa"/>
          </w:tcPr>
          <w:p w:rsidR="00F86653" w:rsidRPr="00C47E32" w:rsidRDefault="00F86653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 xml:space="preserve"> [DOI:</w:t>
            </w:r>
            <w:hyperlink r:id="rId9" w:tgtFrame="_blank" w:history="1">
              <w:r w:rsidRPr="00C47E32">
                <w:rPr>
                  <w:rStyle w:val="a4"/>
                  <w:sz w:val="28"/>
                  <w:szCs w:val="28"/>
                  <w:lang w:val="en-US"/>
                </w:rPr>
                <w:t>10.1016/j.bbi.2007.09.001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F86653" w:rsidRPr="00C47E32" w:rsidRDefault="00F86653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1085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163" w:type="dxa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D’Acquisto F.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Crompton T.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CD3+CD4-CD8-(double negative) T cells: Saviours or vil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lains of the immune response? Biochem. Pharmacol.,  2011. Vol. 82, no. 4, pp.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333–340.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3516" w:type="dxa"/>
          </w:tcPr>
          <w:p w:rsidR="00052861" w:rsidRPr="00C47E32" w:rsidRDefault="00052861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[DOI:</w:t>
            </w:r>
            <w:hyperlink r:id="rId10" w:tgtFrame="_blank" w:history="1">
              <w:r w:rsidRPr="00C47E32">
                <w:rPr>
                  <w:rStyle w:val="a4"/>
                  <w:sz w:val="28"/>
                  <w:szCs w:val="28"/>
                  <w:lang w:val="en-US"/>
                </w:rPr>
                <w:t>10.1016/j.bcp.2011.05.019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129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163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Das G.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Augustine M. M., Das J., Bottomly K., Ray P., Ray A.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An important regulatory role for CD4+CD8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t>αα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T cells in the intestinal epithelial layer in the prevention 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of inflammatory bowel disease.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PNAS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2003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Vol.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100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no.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9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pp. 5324-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5329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3516" w:type="dxa"/>
          </w:tcPr>
          <w:p w:rsidR="00052861" w:rsidRPr="00C47E32" w:rsidRDefault="00052861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[</w:t>
            </w:r>
            <w:r w:rsidRPr="00C47E32">
              <w:rPr>
                <w:sz w:val="28"/>
                <w:szCs w:val="28"/>
              </w:rPr>
              <w:t>DOI:</w:t>
            </w:r>
            <w:hyperlink r:id="rId11" w:tgtFrame="_blank" w:history="1">
              <w:r w:rsidRPr="00C47E32">
                <w:rPr>
                  <w:rStyle w:val="a4"/>
                  <w:sz w:val="28"/>
                  <w:szCs w:val="28"/>
                </w:rPr>
                <w:t>10.1073/pnas.0831037100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3282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5163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Eller M.A.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Goonetilleke N., Tassaneetrithep B., Eller L.A., Costanzo C., Johnson S., Betts </w:t>
            </w:r>
            <w:r w:rsidR="00764155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M.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R., Krebs S.J., Slike </w:t>
            </w:r>
            <w:r w:rsidR="00764155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B.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M., Nitayaphan S., Rono K., Tovanabutra S., Maganga L., </w:t>
            </w:r>
            <w:r w:rsidR="00764155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Kibuuka H., 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Jagodzinski L., Peel S., Rolland M., Marovich M. A.,</w:t>
            </w:r>
            <w:r w:rsidR="00052861" w:rsidRPr="00C47E32"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764155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Kim J.H., 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Michael </w:t>
            </w:r>
            <w:r w:rsidR="00764155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N.</w:t>
            </w:r>
            <w:r w:rsidR="00052861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L., Robb M. L., Streeck H.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Expansion of inefficient HIV-specific CD8+ T cells during acute infection</w:t>
            </w:r>
            <w:r w:rsidR="00764155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.</w:t>
            </w:r>
            <w:r w:rsidR="00764155" w:rsidRPr="00C47E32"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764155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J. Virol., 2016, Vol. 90, no. 8, pp. 4005-4016.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3516" w:type="dxa"/>
          </w:tcPr>
          <w:p w:rsidR="00764155" w:rsidRPr="00C47E32" w:rsidRDefault="00764155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  <w:lang w:val="en-US"/>
              </w:rPr>
              <w:t>[</w:t>
            </w:r>
            <w:r w:rsidRPr="00C47E32">
              <w:rPr>
                <w:sz w:val="28"/>
                <w:szCs w:val="28"/>
              </w:rPr>
              <w:t>DOI:</w:t>
            </w:r>
            <w:hyperlink r:id="rId12" w:tgtFrame="_blank" w:history="1">
              <w:r w:rsidRPr="00C47E32">
                <w:rPr>
                  <w:rStyle w:val="a4"/>
                  <w:sz w:val="28"/>
                  <w:szCs w:val="28"/>
                </w:rPr>
                <w:t>10.1128/JVI.02785-15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1608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163" w:type="dxa"/>
          </w:tcPr>
          <w:p w:rsidR="00DD46FB" w:rsidRPr="00C47E32" w:rsidRDefault="00764155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Graaf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E42844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De 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M.T.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Smitt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P.A.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Luitwieler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R. L.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Van Velzen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C.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Van Den Broek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P.D.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Kraan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J.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Gratama 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J. W. Central Memory CD4+ T Cells dominate the normal cerebrospinal f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luid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.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Cytometry Part  B (Clinical Cytometry)., 2011, Vol. 8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0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no. 1,  pp. 43-</w:t>
            </w:r>
            <w:r w:rsidR="00DD46FB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50.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516" w:type="dxa"/>
          </w:tcPr>
          <w:p w:rsidR="00764155" w:rsidRPr="00C47E32" w:rsidRDefault="00764155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[DOI:</w:t>
            </w:r>
            <w:hyperlink r:id="rId13" w:tgtFrame="_blank" w:history="1">
              <w:r w:rsidRPr="00C47E32">
                <w:rPr>
                  <w:rStyle w:val="a4"/>
                  <w:sz w:val="28"/>
                  <w:szCs w:val="28"/>
                  <w:lang w:val="en-US"/>
                </w:rPr>
                <w:t>10.1002/cyto.b.20542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1574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163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Ichiyama T.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Kajimoto M., Matsushige T., Shiraishi M., Suzuki Y., Furukawa S.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Mononuclear cell subpopulations in CSF and blood of child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ren with bacterial meningitis. J. Infect.,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2009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Vol.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58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no.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1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pp.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28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-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31.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516" w:type="dxa"/>
          </w:tcPr>
          <w:p w:rsidR="00CA338D" w:rsidRPr="00C47E32" w:rsidRDefault="00CA338D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  <w:lang w:val="en-US"/>
              </w:rPr>
              <w:t>[</w:t>
            </w:r>
            <w:r w:rsidRPr="00C47E32">
              <w:rPr>
                <w:sz w:val="28"/>
                <w:szCs w:val="28"/>
              </w:rPr>
              <w:t>DOI:</w:t>
            </w:r>
            <w:hyperlink r:id="rId14" w:tgtFrame="_blank" w:history="1">
              <w:r w:rsidRPr="00C47E32">
                <w:rPr>
                  <w:rStyle w:val="a4"/>
                  <w:sz w:val="28"/>
                  <w:szCs w:val="28"/>
                </w:rPr>
                <w:t>10.1016/j.jinf.2008.10.012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259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163" w:type="dxa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Kitchen S.G.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Jones 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N.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R., La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F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orge S., Whitmire J. K., Vu B.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A.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Galic Z., Brooks 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D.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G., Brown 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S.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J., Kitchen 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C.M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., Zack 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J.</w:t>
            </w:r>
            <w:r w:rsidR="00CA338D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A.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CD4 on CD8+ T cells directly enhances effector function and i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s a target for HIV 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infection.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PNAS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2004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Vol.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101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no.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23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pp.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8727–8732.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3516" w:type="dxa"/>
          </w:tcPr>
          <w:p w:rsidR="00CA338D" w:rsidRPr="00C47E32" w:rsidRDefault="00CA338D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[DOI:</w:t>
            </w:r>
            <w:hyperlink r:id="rId15" w:tgtFrame="_blank" w:history="1">
              <w:r w:rsidRPr="00C47E32">
                <w:rPr>
                  <w:rStyle w:val="a4"/>
                  <w:sz w:val="28"/>
                  <w:szCs w:val="28"/>
                  <w:lang w:val="en-US"/>
                </w:rPr>
                <w:t>10.1073/pnas.0401500101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1202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163" w:type="dxa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noProof/>
                <w:color w:val="FF0000"/>
                <w:sz w:val="28"/>
                <w:szCs w:val="28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Subirá D.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, Castañón S., Aceituno E., Hernández J., Jiménez-garófano C., Jiménez A., Jiménez A. M., Román A., Orfao A.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Flow Cytometric Analysis of Cerebrospinal Fluid Samples and Its Usefulness in Routine Clinical Practice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. American Journal of Clinical Pathology.,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2002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Vol. 117, no. 6, pp. 952-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958.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16" w:type="dxa"/>
          </w:tcPr>
          <w:p w:rsidR="003E73C6" w:rsidRPr="00C47E32" w:rsidRDefault="003E73C6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[DOI:</w:t>
            </w:r>
            <w:hyperlink r:id="rId16" w:tgtFrame="_blank" w:history="1">
              <w:r w:rsidRPr="00C47E32">
                <w:rPr>
                  <w:rStyle w:val="a4"/>
                  <w:sz w:val="28"/>
                  <w:szCs w:val="28"/>
                  <w:lang w:val="en-US"/>
                </w:rPr>
                <w:t>10.1309/123P-CE6V-WYAK-BB1F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D46FB" w:rsidRPr="00C47E32" w:rsidTr="00C47E32">
        <w:trPr>
          <w:trHeight w:val="66"/>
        </w:trPr>
        <w:tc>
          <w:tcPr>
            <w:tcW w:w="871" w:type="dxa"/>
          </w:tcPr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47E32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163" w:type="dxa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noProof/>
                <w:color w:val="FF0000"/>
                <w:sz w:val="28"/>
                <w:szCs w:val="28"/>
                <w:lang w:val="en-US"/>
              </w:rPr>
            </w:pP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Svenningsson A.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E73C6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Andersen O., Edsbagge M., Stemme S.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Lymphocyte phenotype and subset distribution in normal cerebrospinal fluid</w:t>
            </w:r>
            <w:r w:rsidR="003B16A8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. Journal of Neuroimmunology., 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1995</w:t>
            </w:r>
            <w:r w:rsidR="003B16A8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Vol.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63</w:t>
            </w:r>
            <w:r w:rsidR="003B16A8"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, no 1, pp. 39-</w:t>
            </w:r>
            <w:r w:rsidRPr="00C47E32">
              <w:rPr>
                <w:rFonts w:cs="Times New Roman"/>
                <w:noProof/>
                <w:color w:val="000000" w:themeColor="text1"/>
                <w:sz w:val="28"/>
                <w:szCs w:val="28"/>
                <w:lang w:val="en-US"/>
              </w:rPr>
              <w:t>46.</w:t>
            </w:r>
          </w:p>
        </w:tc>
        <w:tc>
          <w:tcPr>
            <w:tcW w:w="4974" w:type="dxa"/>
            <w:vAlign w:val="center"/>
          </w:tcPr>
          <w:p w:rsidR="00DD46FB" w:rsidRPr="00C47E32" w:rsidRDefault="00DD46FB" w:rsidP="00C47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 w:val="28"/>
                <w:szCs w:val="28"/>
              </w:rPr>
            </w:pPr>
            <w:r w:rsidRPr="00C47E32">
              <w:rPr>
                <w:rFonts w:cs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3516" w:type="dxa"/>
          </w:tcPr>
          <w:p w:rsidR="003B16A8" w:rsidRPr="00C47E32" w:rsidRDefault="003B16A8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7E32">
              <w:rPr>
                <w:sz w:val="28"/>
                <w:szCs w:val="28"/>
                <w:lang w:val="en-US"/>
              </w:rPr>
              <w:t>[</w:t>
            </w:r>
            <w:r w:rsidRPr="00C47E32">
              <w:rPr>
                <w:sz w:val="28"/>
                <w:szCs w:val="28"/>
              </w:rPr>
              <w:t>DOI: </w:t>
            </w:r>
            <w:hyperlink r:id="rId17" w:history="1">
              <w:r w:rsidRPr="00C47E32">
                <w:rPr>
                  <w:rStyle w:val="a4"/>
                  <w:sz w:val="28"/>
                  <w:szCs w:val="28"/>
                </w:rPr>
                <w:t>https://doi.org/10.1016/0165-5728(95)00126-3</w:t>
              </w:r>
            </w:hyperlink>
            <w:r w:rsidRPr="00C47E32">
              <w:rPr>
                <w:sz w:val="28"/>
                <w:szCs w:val="28"/>
                <w:lang w:val="en-US"/>
              </w:rPr>
              <w:t>]</w:t>
            </w:r>
          </w:p>
          <w:p w:rsidR="00DD46FB" w:rsidRPr="00C47E32" w:rsidRDefault="00DD46FB" w:rsidP="00C47E32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0723A9" w:rsidRPr="00C47E32" w:rsidRDefault="000723A9" w:rsidP="00C47E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sectPr w:rsidR="000723A9" w:rsidRPr="00C47E32" w:rsidSect="003320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96"/>
    <w:rsid w:val="00052861"/>
    <w:rsid w:val="000723A9"/>
    <w:rsid w:val="002C56CC"/>
    <w:rsid w:val="0033204F"/>
    <w:rsid w:val="0034058F"/>
    <w:rsid w:val="00350D16"/>
    <w:rsid w:val="00384F9C"/>
    <w:rsid w:val="003B16A8"/>
    <w:rsid w:val="003E73C6"/>
    <w:rsid w:val="004A634B"/>
    <w:rsid w:val="00541761"/>
    <w:rsid w:val="00602628"/>
    <w:rsid w:val="00621587"/>
    <w:rsid w:val="006717C4"/>
    <w:rsid w:val="00714C3C"/>
    <w:rsid w:val="00764155"/>
    <w:rsid w:val="00812134"/>
    <w:rsid w:val="008E7B65"/>
    <w:rsid w:val="00940CDF"/>
    <w:rsid w:val="00B10008"/>
    <w:rsid w:val="00B62664"/>
    <w:rsid w:val="00BB7A31"/>
    <w:rsid w:val="00C47E32"/>
    <w:rsid w:val="00CA338D"/>
    <w:rsid w:val="00D3311B"/>
    <w:rsid w:val="00D600E1"/>
    <w:rsid w:val="00DD46FB"/>
    <w:rsid w:val="00E42844"/>
    <w:rsid w:val="00E83E0B"/>
    <w:rsid w:val="00F86653"/>
    <w:rsid w:val="00FC1372"/>
    <w:rsid w:val="00FC2996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832E9-8352-40A9-8D98-2A236F61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D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26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1/jamaneurol.2014.395" TargetMode="External"/><Relationship Id="rId13" Type="http://schemas.openxmlformats.org/officeDocument/2006/relationships/hyperlink" Target="https://doi.org/10.1002/cyto.b.2054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ibrary.ru/item.asp?id=23874840" TargetMode="External"/><Relationship Id="rId12" Type="http://schemas.openxmlformats.org/officeDocument/2006/relationships/hyperlink" Target="https://doi.org/10.1128/JVI.02785-15" TargetMode="External"/><Relationship Id="rId17" Type="http://schemas.openxmlformats.org/officeDocument/2006/relationships/hyperlink" Target="https://doi.org/10.1016/0165-5728(95)00126-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309/123P-CE6V-WYAK-BB1F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17661151" TargetMode="External"/><Relationship Id="rId11" Type="http://schemas.openxmlformats.org/officeDocument/2006/relationships/hyperlink" Target="https://doi.org/10.1073/pnas.0831037100" TargetMode="External"/><Relationship Id="rId5" Type="http://schemas.openxmlformats.org/officeDocument/2006/relationships/hyperlink" Target="http://www.medlit.ru/journalsview/infections/view/journal/2014/issue-5/19-immunopatogeneticheskie-osobennosti-bakterial-nyh-gnoynyh-meningitov/" TargetMode="External"/><Relationship Id="rId15" Type="http://schemas.openxmlformats.org/officeDocument/2006/relationships/hyperlink" Target="https://doi.org/10.1073/pnas.0401500101" TargetMode="External"/><Relationship Id="rId10" Type="http://schemas.openxmlformats.org/officeDocument/2006/relationships/hyperlink" Target="https://doi.org/10.1016/j.bcp.2011.05.01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15789/2220-7619-2016-1-33-44" TargetMode="External"/><Relationship Id="rId9" Type="http://schemas.openxmlformats.org/officeDocument/2006/relationships/hyperlink" Target="https://doi.org/10.1016/j.bbi.2007.09.001" TargetMode="External"/><Relationship Id="rId14" Type="http://schemas.openxmlformats.org/officeDocument/2006/relationships/hyperlink" Target="https://doi.org/10.1016/j.jinf.2008.10.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user91</dc:creator>
  <cp:keywords/>
  <dc:description/>
  <cp:lastModifiedBy>user91</cp:lastModifiedBy>
  <cp:revision>16</cp:revision>
  <dcterms:created xsi:type="dcterms:W3CDTF">2019-03-01T10:22:00Z</dcterms:created>
  <dcterms:modified xsi:type="dcterms:W3CDTF">2019-04-10T11:45:00Z</dcterms:modified>
</cp:coreProperties>
</file>