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6" w:rsidRPr="00AD6F16" w:rsidRDefault="00AD6F16" w:rsidP="00AD6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F16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8"/>
        <w:gridCol w:w="4956"/>
        <w:gridCol w:w="4961"/>
        <w:gridCol w:w="3266"/>
      </w:tblGrid>
      <w:tr w:rsidR="00AD6F16" w:rsidRPr="000E36E6" w:rsidTr="000E36E6">
        <w:trPr>
          <w:trHeight w:val="894"/>
          <w:tblCellSpacing w:w="0" w:type="dxa"/>
        </w:trPr>
        <w:tc>
          <w:tcPr>
            <w:tcW w:w="1508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Порядковый номер ссылки</w:t>
            </w:r>
          </w:p>
        </w:tc>
        <w:tc>
          <w:tcPr>
            <w:tcW w:w="4956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961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3266" w:type="dxa"/>
            <w:hideMark/>
          </w:tcPr>
          <w:p w:rsidR="00B953A7" w:rsidRPr="000E36E6" w:rsidRDefault="00AD6F16" w:rsidP="000E3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0E36E6">
              <w:rPr>
                <w:rFonts w:ascii="Times New Roman" w:hAnsi="Times New Roman" w:cs="Times New Roman"/>
                <w:bCs/>
                <w:sz w:val="28"/>
                <w:szCs w:val="28"/>
              </w:rPr>
              <w:t>doi</w:t>
            </w:r>
            <w:proofErr w:type="spellEnd"/>
          </w:p>
        </w:tc>
      </w:tr>
      <w:tr w:rsidR="00096C86" w:rsidRPr="0019777F" w:rsidTr="00280714">
        <w:trPr>
          <w:tblCellSpacing w:w="0" w:type="dxa"/>
        </w:trPr>
        <w:tc>
          <w:tcPr>
            <w:tcW w:w="1508" w:type="dxa"/>
          </w:tcPr>
          <w:p w:rsidR="00096C86" w:rsidRPr="000E36E6" w:rsidRDefault="00096C8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096C86" w:rsidRPr="000E36E6" w:rsidRDefault="00096C8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А.Г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Фрейндлин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И.С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Смирнов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Ботвиньева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Щупленцева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Ариненко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Р.Ю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. Основы клинической иммунологии и методологические подходы к оценке иммунного статуса: Практикум</w:t>
            </w:r>
            <w:proofErr w:type="gram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од общей редакцией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>М.Г.Романцева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. – Калининград: </w:t>
            </w:r>
            <w:r w:rsidR="00893B0C" w:rsidRPr="00893B0C">
              <w:rPr>
                <w:rFonts w:ascii="Times New Roman" w:hAnsi="Times New Roman" w:cs="Times New Roman"/>
                <w:sz w:val="28"/>
                <w:szCs w:val="28"/>
              </w:rPr>
              <w:t>Калининградский университет</w:t>
            </w:r>
            <w:r w:rsidRPr="00096C86">
              <w:rPr>
                <w:rFonts w:ascii="Times New Roman" w:hAnsi="Times New Roman" w:cs="Times New Roman"/>
                <w:sz w:val="28"/>
                <w:szCs w:val="28"/>
              </w:rPr>
              <w:t xml:space="preserve">, 1997. – 73 с. </w:t>
            </w:r>
          </w:p>
        </w:tc>
        <w:tc>
          <w:tcPr>
            <w:tcW w:w="4961" w:type="dxa"/>
          </w:tcPr>
          <w:p w:rsidR="00096C86" w:rsidRPr="00096C86" w:rsidRDefault="00096C8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Goncharov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A.G.,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Freindlin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I.S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Smirnov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V.S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Botvineva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Shchuplentseva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Arinenko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R.Yu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Fundamentals of clinical immunology and methodological approaches to the assessment of the immune status: Practicum / Under the general editorship of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Romantsev</w:t>
            </w:r>
            <w:proofErr w:type="spellEnd"/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96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Kaliningrad: </w:t>
            </w:r>
            <w:r w:rsidR="00893B0C" w:rsidRPr="00893B0C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>Kaliningrad University</w:t>
            </w:r>
            <w:r w:rsidRPr="00096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1997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096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73 p.</w:t>
            </w:r>
            <w:r w:rsidR="00483E78" w:rsidRPr="00483E78">
              <w:rPr>
                <w:sz w:val="14"/>
                <w:szCs w:val="14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6" w:type="dxa"/>
          </w:tcPr>
          <w:p w:rsidR="00096C86" w:rsidRPr="00096C86" w:rsidRDefault="00096C8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6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http://window.edu.ru/resource/530/22530/files/romancov.pdf</w:t>
            </w:r>
          </w:p>
        </w:tc>
      </w:tr>
      <w:tr w:rsidR="0019777F" w:rsidRPr="0019777F" w:rsidTr="00280714">
        <w:trPr>
          <w:tblCellSpacing w:w="0" w:type="dxa"/>
        </w:trPr>
        <w:tc>
          <w:tcPr>
            <w:tcW w:w="1508" w:type="dxa"/>
          </w:tcPr>
          <w:p w:rsidR="0019777F" w:rsidRPr="0019777F" w:rsidRDefault="0019777F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19777F" w:rsidRPr="0019777F" w:rsidRDefault="0019777F" w:rsidP="00197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Калюжин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 xml:space="preserve">. Феномен тренированного иммунитета и механизмы действия </w:t>
            </w:r>
            <w:proofErr w:type="gramStart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неспецифических</w:t>
            </w:r>
            <w:proofErr w:type="gramEnd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 xml:space="preserve"> иммуномодуляторов // Российский </w:t>
            </w: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аллергологический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 xml:space="preserve">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9777F">
              <w:rPr>
                <w:rFonts w:ascii="Times New Roman" w:hAnsi="Times New Roman" w:cs="Times New Roman"/>
                <w:sz w:val="28"/>
                <w:szCs w:val="28"/>
              </w:rPr>
              <w:t xml:space="preserve"> 2015. № 4. С. 45-51.</w:t>
            </w:r>
          </w:p>
        </w:tc>
        <w:tc>
          <w:tcPr>
            <w:tcW w:w="4961" w:type="dxa"/>
          </w:tcPr>
          <w:p w:rsidR="0019777F" w:rsidRPr="0019777F" w:rsidRDefault="0019777F" w:rsidP="0019777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</w:pP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Kalyuzhin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O.V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trained immunity phenomenon and mechanisms of action of non-specific </w:t>
            </w: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immunomodifiers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Rossijskij</w:t>
            </w:r>
            <w:proofErr w:type="spellEnd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allergologicheskij</w:t>
            </w:r>
            <w:proofErr w:type="spellEnd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zhurnal</w:t>
            </w:r>
            <w:proofErr w:type="spellEnd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Russian </w:t>
            </w:r>
            <w:proofErr w:type="spellStart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Allergology</w:t>
            </w:r>
            <w:proofErr w:type="spellEnd"/>
            <w:r w:rsidRPr="001977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Journal, 2015,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 xml:space="preserve">no. 4, pp. 45-51. </w:t>
            </w:r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9777F" w:rsidRPr="0019777F" w:rsidRDefault="0019777F" w:rsidP="00197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6" w:type="dxa"/>
          </w:tcPr>
          <w:p w:rsidR="0019777F" w:rsidRPr="0019777F" w:rsidRDefault="0019777F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7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http://rusalljournal.ru/raj-4-2015/o-v-kalyuzhinfenomen-trenirovannogo-immuniteta-i-mexanizmy-dejstviya-nespecificheskix-immuno</w:t>
            </w:r>
            <w:r w:rsidRPr="0019777F">
              <w:rPr>
                <w:rFonts w:ascii="Times New Roman" w:hAnsi="Times New Roman" w:cs="Times New Roman"/>
                <w:sz w:val="28"/>
                <w:szCs w:val="28"/>
              </w:rPr>
              <w:t>modulyatorov45-51/</w:t>
            </w:r>
          </w:p>
        </w:tc>
      </w:tr>
      <w:tr w:rsidR="00B2533A" w:rsidRPr="0019777F" w:rsidTr="00280714">
        <w:trPr>
          <w:tblCellSpacing w:w="0" w:type="dxa"/>
        </w:trPr>
        <w:tc>
          <w:tcPr>
            <w:tcW w:w="1508" w:type="dxa"/>
          </w:tcPr>
          <w:p w:rsidR="00B2533A" w:rsidRPr="0019777F" w:rsidRDefault="00B2533A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B2533A" w:rsidRPr="000E36E6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Караулов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А.В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Калюжин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. Сфера применения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мурамилпептидов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основных подходов к иммунотерапии/иммунопрофилактике инфекционных болезней // Физиология </w:t>
            </w:r>
            <w:r w:rsidRPr="00B25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патология иммунной системы.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</w:rPr>
              <w:t>Иммунофармакогеномика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2013. Т. 17,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533A">
              <w:rPr>
                <w:rFonts w:ascii="Times New Roman" w:hAnsi="Times New Roman" w:cs="Times New Roman"/>
                <w:sz w:val="28"/>
                <w:szCs w:val="28"/>
              </w:rPr>
              <w:t xml:space="preserve"> 5. С. 3-15. </w:t>
            </w:r>
          </w:p>
        </w:tc>
        <w:tc>
          <w:tcPr>
            <w:tcW w:w="4961" w:type="dxa"/>
          </w:tcPr>
          <w:p w:rsidR="00B2533A" w:rsidRPr="00B2533A" w:rsidRDefault="00B2533A" w:rsidP="0048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Karaulov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Kalyuzhin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phere of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muramyl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dipeptide application within the major approaches 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immunotherapy/prophylaxis of infectious diseases.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Fiziologiya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patologiya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immunnoj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sistemy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Immunofarmakogenomika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Physiology and 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athology of the 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mmune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ystem.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Immunopharmacogenomics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Vol. 17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3-15.</w:t>
            </w:r>
            <w:r w:rsidR="00483E78" w:rsidRPr="00483E78">
              <w:rPr>
                <w:sz w:val="14"/>
                <w:szCs w:val="14"/>
                <w:lang w:val="en-US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6" w:type="dxa"/>
          </w:tcPr>
          <w:p w:rsidR="00B2533A" w:rsidRPr="00B2533A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https://elibrary.ru/item.asp?id=21776658</w:t>
            </w:r>
          </w:p>
        </w:tc>
      </w:tr>
      <w:tr w:rsidR="00624B30" w:rsidRPr="0019777F" w:rsidTr="00280714">
        <w:trPr>
          <w:tblCellSpacing w:w="0" w:type="dxa"/>
        </w:trPr>
        <w:tc>
          <w:tcPr>
            <w:tcW w:w="1508" w:type="dxa"/>
          </w:tcPr>
          <w:p w:rsidR="00624B30" w:rsidRPr="00096C86" w:rsidRDefault="00624B30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24B30" w:rsidRPr="00B2533A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Летяева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О.И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О.Р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Маркеева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Д.А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Блохина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Ю.В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Алексеева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Н.Ю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Баранова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Калюжин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 xml:space="preserve">. Клиническая и цитокин-модулирующая эффективность композиции трех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мурамилпептидов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, содержащих остаток мезо-диаминопимелиновой кислоты, при хронической пиодермии // Русский медицинский журнал, 2018. №</w:t>
            </w:r>
            <w:r w:rsidR="00021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B30">
              <w:rPr>
                <w:rFonts w:ascii="Times New Roman" w:hAnsi="Times New Roman" w:cs="Times New Roman"/>
                <w:sz w:val="28"/>
                <w:szCs w:val="28"/>
              </w:rPr>
              <w:t>8 (I). C. 9-13.</w:t>
            </w:r>
          </w:p>
        </w:tc>
        <w:tc>
          <w:tcPr>
            <w:tcW w:w="4961" w:type="dxa"/>
          </w:tcPr>
          <w:p w:rsidR="00624B30" w:rsidRPr="00624B30" w:rsidRDefault="00624B30" w:rsidP="0071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Letyaeva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O.I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Ziganshin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O.R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Markeeva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Blokhina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Alekseeva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Baranova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N.I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Kalyuzhin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Clinical and cytokine-modulating efficacy of a composition of three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muramylpeptides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containing 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meso-diaminopimelic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acid residue in the chronic pyoderma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24B30">
              <w:rPr>
                <w:lang w:val="en-US"/>
              </w:rPr>
              <w:t xml:space="preserve"> </w:t>
            </w:r>
            <w:proofErr w:type="spellStart"/>
            <w:r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Russkij</w:t>
            </w:r>
            <w:proofErr w:type="spellEnd"/>
            <w:r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</w:t>
            </w:r>
            <w:r w:rsidR="007118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ts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inskij</w:t>
            </w:r>
            <w:proofErr w:type="spellEnd"/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hurnal</w:t>
            </w:r>
            <w:proofErr w:type="spellEnd"/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Russian Medical </w:t>
            </w:r>
            <w:r w:rsidR="002807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ournal, </w:t>
            </w:r>
            <w:r w:rsidR="001A6D01" w:rsidRP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2018</w:t>
            </w:r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</w:t>
            </w:r>
            <w:r w:rsidR="001A6D01" w:rsidRP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8 (I)</w:t>
            </w:r>
            <w:r w:rsidR="001A6D01" w:rsidRPr="001A6D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="001A6D01" w:rsidRP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9-13.</w:t>
            </w:r>
            <w:r w:rsidR="00483E78" w:rsidRPr="00483E78">
              <w:rPr>
                <w:sz w:val="14"/>
                <w:szCs w:val="14"/>
                <w:lang w:val="en-US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Russ.)</w:t>
            </w:r>
          </w:p>
        </w:tc>
        <w:tc>
          <w:tcPr>
            <w:tcW w:w="3266" w:type="dxa"/>
          </w:tcPr>
          <w:p w:rsidR="00624B30" w:rsidRPr="00624B30" w:rsidRDefault="001A6D01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https://www.rmj.ru/articles/allergologiya/Klinicheskaya_i_citokin-moduliruyuschaya_effektivnosty_kompozicii_treh_muramilpeptidov_soderghaschih_ostatok_mezo-diaminopimelinovoy_kisloty_pri_hronicheskoy_piodermii/</w:t>
            </w:r>
          </w:p>
        </w:tc>
      </w:tr>
      <w:tr w:rsidR="00893B0C" w:rsidRPr="0019777F" w:rsidTr="00280714">
        <w:trPr>
          <w:tblCellSpacing w:w="0" w:type="dxa"/>
        </w:trPr>
        <w:tc>
          <w:tcPr>
            <w:tcW w:w="1508" w:type="dxa"/>
          </w:tcPr>
          <w:p w:rsidR="00893B0C" w:rsidRPr="00096C86" w:rsidRDefault="00893B0C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893B0C" w:rsidRPr="00893B0C" w:rsidRDefault="00893B0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B0C">
              <w:rPr>
                <w:rFonts w:ascii="Times New Roman" w:hAnsi="Times New Roman" w:cs="Times New Roman"/>
                <w:sz w:val="28"/>
                <w:szCs w:val="28"/>
              </w:rPr>
              <w:t>Маянский</w:t>
            </w:r>
            <w:proofErr w:type="spellEnd"/>
            <w:r w:rsidRPr="00893B0C">
              <w:rPr>
                <w:rFonts w:ascii="Times New Roman" w:hAnsi="Times New Roman" w:cs="Times New Roman"/>
                <w:sz w:val="28"/>
                <w:szCs w:val="28"/>
              </w:rPr>
              <w:t xml:space="preserve"> А. Н.    Лекции    по    иммунологии. –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Новгород: 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ижегородская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медицинская</w:t>
            </w:r>
            <w:r w:rsidR="0066210F" w:rsidRPr="00662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10F" w:rsidRPr="0066210F">
              <w:rPr>
                <w:rFonts w:ascii="Times New Roman" w:hAnsi="Times New Roman" w:cs="Times New Roman"/>
                <w:bCs/>
                <w:sz w:val="28"/>
                <w:szCs w:val="28"/>
              </w:rPr>
              <w:t>академия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2003. – 272 с. </w:t>
            </w:r>
          </w:p>
        </w:tc>
        <w:tc>
          <w:tcPr>
            <w:tcW w:w="4961" w:type="dxa"/>
          </w:tcPr>
          <w:p w:rsidR="00893B0C" w:rsidRPr="00483E78" w:rsidRDefault="00893B0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Mayansky</w:t>
            </w:r>
            <w:proofErr w:type="spellEnd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A.N</w:t>
            </w:r>
            <w:proofErr w:type="spellEnd"/>
            <w:r w:rsidRPr="00893B0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Lectures on immunology. 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 xml:space="preserve">N. Novgorod: N. Novgorod 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State Medical Academy,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"/>
              </w:rPr>
              <w:t xml:space="preserve"> 2003</w:t>
            </w:r>
            <w:r w:rsidRPr="006621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="0066210F" w:rsidRPr="006621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272 </w:t>
            </w:r>
            <w:r w:rsidR="0066210F" w:rsidRPr="0066210F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p.</w:t>
            </w:r>
            <w:r w:rsidR="00483E78" w:rsidRPr="00483E78">
              <w:rPr>
                <w:sz w:val="14"/>
                <w:szCs w:val="14"/>
                <w:lang w:val="en-US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Russ.)</w:t>
            </w:r>
          </w:p>
        </w:tc>
        <w:tc>
          <w:tcPr>
            <w:tcW w:w="3266" w:type="dxa"/>
          </w:tcPr>
          <w:p w:rsidR="00893B0C" w:rsidRPr="001A6D01" w:rsidRDefault="0066210F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http://www.medicum.nnov.ru/izd_ngma/immunology.php</w:t>
            </w:r>
          </w:p>
        </w:tc>
      </w:tr>
      <w:tr w:rsidR="00650BAE" w:rsidRPr="00650BAE" w:rsidTr="00280714">
        <w:trPr>
          <w:tblCellSpacing w:w="0" w:type="dxa"/>
        </w:trPr>
        <w:tc>
          <w:tcPr>
            <w:tcW w:w="1508" w:type="dxa"/>
          </w:tcPr>
          <w:p w:rsidR="00650BAE" w:rsidRPr="000217C6" w:rsidRDefault="00650BAE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50BAE" w:rsidRPr="00650BAE" w:rsidRDefault="00650BAE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Хайдуков</w:t>
            </w:r>
            <w:proofErr w:type="spellEnd"/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2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Байдун</w:t>
            </w:r>
            <w:proofErr w:type="spellEnd"/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C2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C264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А.В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. Стандартизованная технология «исследование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субпопуляционного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 состава лимфоцитов периферической крови с применением проточных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>цитофлюориметров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</w:rPr>
              <w:t xml:space="preserve">-анализаторов» </w:t>
            </w:r>
            <w:r w:rsidRPr="00650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(проект) // Медицинская иммунология, 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14, 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255-268.</w:t>
            </w:r>
          </w:p>
        </w:tc>
        <w:tc>
          <w:tcPr>
            <w:tcW w:w="4961" w:type="dxa"/>
          </w:tcPr>
          <w:p w:rsidR="00650BAE" w:rsidRPr="00650BAE" w:rsidRDefault="00650BAE" w:rsidP="0048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Khaydukov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Baidun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Totolyan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Standardized technology "study of the subpopulation composition of peripheral blood lymphocytes using flow cytometer analyzers" (draft)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</w:t>
            </w:r>
            <w:r w:rsidR="00483E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ts</w:t>
            </w:r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inskaya</w:t>
            </w:r>
            <w:proofErr w:type="spellEnd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immunologiya</w:t>
            </w:r>
            <w:proofErr w:type="spellEnd"/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</w:t>
            </w:r>
            <w:r w:rsidRPr="00650BA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Medical Immunology,</w:t>
            </w:r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2012, Vol.14, no. 3, pp. 255-</w:t>
            </w:r>
            <w:r w:rsidRPr="00650BA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268.</w:t>
            </w:r>
            <w:r w:rsidR="00483E78" w:rsidRPr="00483E78">
              <w:rPr>
                <w:sz w:val="14"/>
                <w:szCs w:val="14"/>
              </w:rPr>
              <w:t xml:space="preserve"> </w:t>
            </w:r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="00483E78" w:rsidRPr="00483E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66" w:type="dxa"/>
          </w:tcPr>
          <w:p w:rsidR="00650BAE" w:rsidRPr="00650BAE" w:rsidRDefault="00650BAE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doi</w:t>
            </w:r>
            <w:proofErr w:type="spellEnd"/>
            <w:r w:rsidRPr="00650B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10.15789/1563-0625-2012-3-255-268</w:t>
            </w:r>
          </w:p>
        </w:tc>
      </w:tr>
      <w:tr w:rsidR="007404BB" w:rsidRPr="00E506D5" w:rsidTr="00280714">
        <w:trPr>
          <w:tblCellSpacing w:w="0" w:type="dxa"/>
        </w:trPr>
        <w:tc>
          <w:tcPr>
            <w:tcW w:w="1508" w:type="dxa"/>
          </w:tcPr>
          <w:p w:rsidR="007404BB" w:rsidRPr="00B2533A" w:rsidRDefault="007404BB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Bitschar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Wolz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Krismer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Peschel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Schittek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 Keratinocytes as sensors and central players in the immune defense against Staphylococcus aureus in the skin.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Dermatol</w:t>
            </w:r>
            <w:proofErr w:type="spellEnd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Sci., 2017</w:t>
            </w:r>
            <w:r w:rsid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87</w:t>
            </w:r>
            <w:r w:rsid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215-220.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404BB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10.1016/j.jdermsci.2017.06.003</w:t>
            </w:r>
          </w:p>
        </w:tc>
      </w:tr>
      <w:tr w:rsidR="003E2A27" w:rsidRPr="00E506D5" w:rsidTr="00280714">
        <w:trPr>
          <w:tblCellSpacing w:w="0" w:type="dxa"/>
        </w:trPr>
        <w:tc>
          <w:tcPr>
            <w:tcW w:w="1508" w:type="dxa"/>
          </w:tcPr>
          <w:p w:rsidR="003E2A27" w:rsidRPr="00B2533A" w:rsidRDefault="003E2A27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3E2A27" w:rsidRPr="007404BB" w:rsidRDefault="003E2A27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Campbell L., Williams H., Crompton R.A., </w:t>
            </w:r>
            <w:proofErr w:type="spellStart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Cruickhank</w:t>
            </w:r>
            <w:proofErr w:type="spellEnd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S.M</w:t>
            </w:r>
            <w:proofErr w:type="spellEnd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Hardman</w:t>
            </w:r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proofErr w:type="spellEnd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24B3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Nod2 deficiency impairs inflammatory and epithelial aspects of the cutaneous wound-healing response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Pathol</w:t>
            </w:r>
            <w:proofErr w:type="spellEnd"/>
            <w:r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="00624B30" w:rsidRPr="00624B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2013,</w:t>
            </w:r>
            <w:r w:rsid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Vol. </w:t>
            </w:r>
            <w:r w:rsidRPr="00624B3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229</w:t>
            </w:r>
            <w:r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pp. </w:t>
            </w:r>
            <w:r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121</w:t>
            </w:r>
            <w:r w:rsidR="00624B30" w:rsidRPr="00624B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-131.</w:t>
            </w:r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3E2A27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3E2A27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E2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10.1002/path.4095</w:t>
            </w:r>
          </w:p>
        </w:tc>
      </w:tr>
      <w:tr w:rsidR="00624B30" w:rsidRPr="00E506D5" w:rsidTr="00280714">
        <w:trPr>
          <w:tblCellSpacing w:w="0" w:type="dxa"/>
        </w:trPr>
        <w:tc>
          <w:tcPr>
            <w:tcW w:w="1508" w:type="dxa"/>
          </w:tcPr>
          <w:p w:rsidR="00624B30" w:rsidRPr="00B2533A" w:rsidRDefault="00624B30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24B30" w:rsidRPr="003E2A27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Dagil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Y.A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Arbatsky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N.P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Pashenkov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Alkhazova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B.I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L'vov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V.L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Mazurov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D.V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 Dual NOD1/NOD2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Agonism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Muropeptides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Containing a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Meso-Diaminopimelic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Acid Residue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PLoS</w:t>
            </w:r>
            <w:proofErr w:type="spellEnd"/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e0160784. </w:t>
            </w:r>
          </w:p>
        </w:tc>
        <w:tc>
          <w:tcPr>
            <w:tcW w:w="4961" w:type="dxa"/>
          </w:tcPr>
          <w:p w:rsidR="00624B30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624B30" w:rsidRPr="003E2A27" w:rsidRDefault="00624B30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doi:10.1371/journal.pone.0160784</w:t>
            </w:r>
          </w:p>
        </w:tc>
      </w:tr>
      <w:tr w:rsidR="007404BB" w:rsidRPr="00E506D5" w:rsidTr="00280714">
        <w:trPr>
          <w:tblCellSpacing w:w="0" w:type="dxa"/>
        </w:trPr>
        <w:tc>
          <w:tcPr>
            <w:tcW w:w="1508" w:type="dxa"/>
          </w:tcPr>
          <w:p w:rsidR="007404BB" w:rsidRPr="00B2533A" w:rsidRDefault="007404BB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Fritz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Girardin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Fitting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Werts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Mengin-Lecreulx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Caroff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Cavaillon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Philpott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Adib-Conquy</w:t>
            </w:r>
            <w:proofErr w:type="spellEnd"/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Synergistic stimulation of human monocytes and dendritic cells by 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Toll-like receptor 4 and NOD1- and NOD2-activating agonists.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Eur. J. </w:t>
            </w:r>
            <w:proofErr w:type="spellStart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2005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2459-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24</w:t>
            </w:r>
            <w:r w:rsidRPr="007404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70.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404BB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266" w:type="dxa"/>
          </w:tcPr>
          <w:p w:rsidR="007404BB" w:rsidRPr="00E506D5" w:rsidRDefault="007404BB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740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10.1002/eji.200526286</w:t>
            </w:r>
          </w:p>
        </w:tc>
      </w:tr>
      <w:tr w:rsidR="00C94423" w:rsidRPr="00E506D5" w:rsidTr="00280714">
        <w:trPr>
          <w:tblCellSpacing w:w="0" w:type="dxa"/>
        </w:trPr>
        <w:tc>
          <w:tcPr>
            <w:tcW w:w="1508" w:type="dxa"/>
          </w:tcPr>
          <w:p w:rsidR="00C94423" w:rsidRPr="00B2533A" w:rsidRDefault="00C94423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C94423" w:rsidRPr="007404BB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Ekman </w:t>
            </w: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A.K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Cardell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L.O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 expression and function of Nod-like receptors in neutrophils. </w:t>
            </w:r>
            <w:r w:rsidRPr="00C9442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Immunology, 2010, Vol. 130, no. 1, pp. 55-63.</w:t>
            </w:r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C94423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C94423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C944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10.1111/j.1365-2567.2009.03212.x</w:t>
            </w:r>
          </w:p>
        </w:tc>
      </w:tr>
      <w:tr w:rsidR="00D8075C" w:rsidRPr="00E506D5" w:rsidTr="00280714">
        <w:trPr>
          <w:tblCellSpacing w:w="0" w:type="dxa"/>
        </w:trPr>
        <w:tc>
          <w:tcPr>
            <w:tcW w:w="1508" w:type="dxa"/>
          </w:tcPr>
          <w:p w:rsidR="00D8075C" w:rsidRPr="00B2533A" w:rsidRDefault="00D8075C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D8075C" w:rsidRPr="007404BB" w:rsidRDefault="00D8075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Harder 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Núñez</w:t>
            </w:r>
            <w:proofErr w:type="spellEnd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Functional expression of the intracellular pattern recognition receptor NOD1 in human keratinocytes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J. Invest. </w:t>
            </w:r>
            <w:proofErr w:type="spellStart"/>
            <w:proofErr w:type="gramStart"/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Dermatol</w:t>
            </w:r>
            <w:proofErr w:type="spellEnd"/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proofErr w:type="gramEnd"/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2009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1299-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Pr="00D807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302.</w:t>
            </w:r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D8075C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D8075C" w:rsidRDefault="00D8075C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80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10.1038/jid.2008.395</w:t>
            </w:r>
          </w:p>
        </w:tc>
      </w:tr>
      <w:tr w:rsidR="00C24365" w:rsidRPr="00E506D5" w:rsidTr="00280714">
        <w:trPr>
          <w:tblCellSpacing w:w="0" w:type="dxa"/>
        </w:trPr>
        <w:tc>
          <w:tcPr>
            <w:tcW w:w="1508" w:type="dxa"/>
          </w:tcPr>
          <w:p w:rsidR="00C24365" w:rsidRPr="007404BB" w:rsidRDefault="00C24365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C24365" w:rsidRPr="00E506D5" w:rsidRDefault="00C2436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Hertz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n E., Johansson L.,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Wallin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Schmidt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Kroll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Rehn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Kotb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Mörgelin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Norrby-Teglund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A. M1-protein dependent intracellular trafficking promotes persistence and replication of Streptococcus pyogenes in macrophages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</w:t>
            </w: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J. Innate Immun.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Vol. 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pp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 534-545.</w:t>
            </w:r>
          </w:p>
        </w:tc>
        <w:tc>
          <w:tcPr>
            <w:tcW w:w="4961" w:type="dxa"/>
          </w:tcPr>
          <w:p w:rsidR="00C2436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C24365" w:rsidRPr="00E506D5" w:rsidRDefault="00C2436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: 10.1159/000317635</w:t>
            </w:r>
          </w:p>
        </w:tc>
      </w:tr>
      <w:tr w:rsidR="00C94423" w:rsidRPr="00E506D5" w:rsidTr="00280714">
        <w:trPr>
          <w:tblCellSpacing w:w="0" w:type="dxa"/>
        </w:trPr>
        <w:tc>
          <w:tcPr>
            <w:tcW w:w="1508" w:type="dxa"/>
          </w:tcPr>
          <w:p w:rsidR="00C94423" w:rsidRPr="007404BB" w:rsidRDefault="00C94423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956" w:type="dxa"/>
          </w:tcPr>
          <w:p w:rsidR="00C94423" w:rsidRPr="00C24365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Kobayashi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Yoshiki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Sakabe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Kabashima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Nakamura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Tokura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Y. Expression of toll-like receptor 2, NOD2 and dectin-1 and stimulatory effects of their ligands and histamine in normal 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lastRenderedPageBreak/>
              <w:t xml:space="preserve">human keratinocytes. </w:t>
            </w:r>
            <w:r w:rsidRPr="00C9442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Br. J. </w:t>
            </w:r>
            <w:proofErr w:type="spellStart"/>
            <w:r w:rsidRPr="00C9442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Dermatol</w:t>
            </w:r>
            <w:proofErr w:type="spellEnd"/>
            <w:r w:rsidRPr="00C9442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., 2009, Vol. 160, no. 2, pp. 297-304.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C94423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3266" w:type="dxa"/>
          </w:tcPr>
          <w:p w:rsidR="00C94423" w:rsidRPr="00C94423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 10.1111/j.1365-2133.2008.08897.x</w:t>
            </w:r>
          </w:p>
        </w:tc>
      </w:tr>
      <w:tr w:rsidR="00C94423" w:rsidRPr="00E506D5" w:rsidTr="00280714">
        <w:trPr>
          <w:tblCellSpacing w:w="0" w:type="dxa"/>
        </w:trPr>
        <w:tc>
          <w:tcPr>
            <w:tcW w:w="1508" w:type="dxa"/>
          </w:tcPr>
          <w:p w:rsidR="00C94423" w:rsidRPr="00C94423" w:rsidRDefault="00C94423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C94423" w:rsidRPr="006A38FE" w:rsidRDefault="00C94423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Masumoto J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Yang K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Varambally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Hasegawa M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Tomlins 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Qiu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Fujimoto Y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Kawasaki A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Foster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proofErr w:type="spellEnd"/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Horie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Y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Mak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W</w:t>
            </w:r>
            <w:proofErr w:type="spellEnd"/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Núñez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G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Chinnaiyan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Fukase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Inohara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N.</w:t>
            </w:r>
            <w:r w:rsidR="00EC1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Nod1 acts as an intracellular receptor to stimulate chemokine production and neutrophil recruitment in vivo.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Exp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Med.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2006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Vol.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203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no.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pp. 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203-</w:t>
            </w:r>
            <w:r w:rsidR="00EC1984"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</w:t>
            </w:r>
            <w:r w:rsidRPr="00EC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13.</w:t>
            </w:r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C94423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C94423" w:rsidRPr="006A38FE" w:rsidRDefault="00EC1984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 w:rsidRPr="00C9442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 10.1084/jem.20051229</w:t>
            </w:r>
          </w:p>
        </w:tc>
      </w:tr>
      <w:tr w:rsidR="006A38FE" w:rsidRPr="00E506D5" w:rsidTr="00280714">
        <w:trPr>
          <w:tblCellSpacing w:w="0" w:type="dxa"/>
        </w:trPr>
        <w:tc>
          <w:tcPr>
            <w:tcW w:w="1508" w:type="dxa"/>
          </w:tcPr>
          <w:p w:rsidR="006A38FE" w:rsidRPr="006A38FE" w:rsidRDefault="006A38FE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6A38FE" w:rsidRPr="00DA18CD" w:rsidRDefault="00862F02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Mukherjee 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Hovingh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Foerster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Abdel-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Nour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Philpott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proofErr w:type="spellEnd"/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Girardin</w:t>
            </w:r>
            <w:proofErr w:type="spellEnd"/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</w:t>
            </w:r>
            <w:r w:rsid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2F0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E. NOD1 and NOD2 in inflammation, immunity and disease. 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Arch</w:t>
            </w:r>
            <w:r w:rsidR="00AB18BA"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Biochem</w:t>
            </w:r>
            <w:proofErr w:type="spellEnd"/>
            <w:r w:rsidR="00AB18BA"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Biophys</w:t>
            </w:r>
            <w:proofErr w:type="spellEnd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proofErr w:type="gramEnd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2018</w:t>
            </w:r>
            <w:r w:rsid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pii</w:t>
            </w:r>
            <w:proofErr w:type="spellEnd"/>
            <w:r w:rsidRP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: S0003-9861(18)30937-8.</w:t>
            </w:r>
            <w:r w:rsidRPr="00AB18B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6A38FE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6A38FE" w:rsidRPr="004C264D" w:rsidRDefault="004C264D" w:rsidP="002807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 10.1016/j.abb.2018.12.022</w:t>
            </w:r>
          </w:p>
        </w:tc>
      </w:tr>
      <w:tr w:rsidR="00AD6F16" w:rsidRPr="00E506D5" w:rsidTr="00280714">
        <w:trPr>
          <w:tblCellSpacing w:w="0" w:type="dxa"/>
        </w:trPr>
        <w:tc>
          <w:tcPr>
            <w:tcW w:w="1508" w:type="dxa"/>
          </w:tcPr>
          <w:p w:rsidR="00AD6F16" w:rsidRPr="00E506D5" w:rsidRDefault="00AD6F1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AD6F16" w:rsidRPr="00E506D5" w:rsidRDefault="00E506D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Nizet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 Bacteria and phagocytes: mortal enemies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Innate Immun.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Vol.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no. 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Pr="00E506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505-507. </w:t>
            </w:r>
          </w:p>
        </w:tc>
        <w:tc>
          <w:tcPr>
            <w:tcW w:w="4961" w:type="dxa"/>
          </w:tcPr>
          <w:p w:rsidR="00AD6F16" w:rsidRPr="00E506D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AD6F16" w:rsidRPr="00E506D5" w:rsidRDefault="00E506D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E50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10.1159/000320473</w:t>
            </w:r>
          </w:p>
        </w:tc>
      </w:tr>
      <w:tr w:rsidR="00B2533A" w:rsidRPr="00E506D5" w:rsidTr="00280714">
        <w:trPr>
          <w:tblCellSpacing w:w="0" w:type="dxa"/>
        </w:trPr>
        <w:tc>
          <w:tcPr>
            <w:tcW w:w="1508" w:type="dxa"/>
          </w:tcPr>
          <w:p w:rsidR="00B2533A" w:rsidRPr="00E506D5" w:rsidRDefault="00B2533A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B2533A" w:rsidRPr="00E506D5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Pashenkov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Dagil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Pinegin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End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NOD1 and NOD2: Molecular targets in prevention and treatment of infectious diseases.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Int. </w:t>
            </w:r>
            <w:proofErr w:type="spellStart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Immunopharmacol</w:t>
            </w:r>
            <w:proofErr w:type="spellEnd"/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pp. </w:t>
            </w:r>
            <w:r w:rsidRPr="00B253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385-400.</w:t>
            </w:r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B2533A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B2533A" w:rsidRPr="00E506D5" w:rsidRDefault="00B2533A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25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10.1016/j.intimp.2017.11.036</w:t>
            </w:r>
          </w:p>
        </w:tc>
      </w:tr>
      <w:tr w:rsidR="004500F5" w:rsidRPr="00E506D5" w:rsidTr="00280714">
        <w:trPr>
          <w:tblCellSpacing w:w="0" w:type="dxa"/>
        </w:trPr>
        <w:tc>
          <w:tcPr>
            <w:tcW w:w="1508" w:type="dxa"/>
          </w:tcPr>
          <w:p w:rsidR="004500F5" w:rsidRPr="00E506D5" w:rsidRDefault="004500F5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4500F5" w:rsidRPr="00B2533A" w:rsidRDefault="004500F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Roth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Simanski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Rademacher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Schröder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Harder J. The pattern recognition receptor NOD2 mediates Staphylococcus aureus-induced IL-17C expression in keratinocytes. 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Invest. </w:t>
            </w:r>
            <w:proofErr w:type="spellStart"/>
            <w:proofErr w:type="gramStart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Dermatol</w:t>
            </w:r>
            <w:proofErr w:type="spellEnd"/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450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374-380. </w:t>
            </w:r>
          </w:p>
        </w:tc>
        <w:tc>
          <w:tcPr>
            <w:tcW w:w="4961" w:type="dxa"/>
          </w:tcPr>
          <w:p w:rsidR="004500F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4500F5" w:rsidRPr="00B2533A" w:rsidRDefault="004500F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10.1038/jid.2013.313</w:t>
            </w:r>
          </w:p>
        </w:tc>
      </w:tr>
      <w:tr w:rsidR="00AD6F16" w:rsidRPr="00E506D5" w:rsidTr="00280714">
        <w:trPr>
          <w:tblCellSpacing w:w="0" w:type="dxa"/>
        </w:trPr>
        <w:tc>
          <w:tcPr>
            <w:tcW w:w="1508" w:type="dxa"/>
          </w:tcPr>
          <w:p w:rsidR="00AD6F16" w:rsidRPr="00E506D5" w:rsidRDefault="00AD6F1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AD6F16" w:rsidRPr="00E506D5" w:rsidRDefault="008636D2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Smagur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Guzik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Magiera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Bzowska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Gruca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Thogersen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Enghild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Potempa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J.  </w:t>
            </w:r>
            <w:proofErr w:type="gram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  new</w:t>
            </w:r>
            <w:proofErr w:type="gram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 pathway  of  staphylococcal  pathogenesis: Apoptosis-like death induced by </w:t>
            </w:r>
            <w:proofErr w:type="spellStart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staphopain</w:t>
            </w:r>
            <w:proofErr w:type="spellEnd"/>
            <w:r w:rsidRPr="008636D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 in human neutrophils and monocytes. 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Innate Immun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.,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2009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Vol. 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pp.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98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-</w:t>
            </w:r>
            <w:r w:rsidRPr="00863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108.</w:t>
            </w:r>
          </w:p>
        </w:tc>
        <w:tc>
          <w:tcPr>
            <w:tcW w:w="4961" w:type="dxa"/>
          </w:tcPr>
          <w:p w:rsidR="00AD6F16" w:rsidRPr="00E506D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AD6F16" w:rsidRPr="00E506D5" w:rsidRDefault="008636D2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36D2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8636D2">
              <w:rPr>
                <w:rFonts w:ascii="Times New Roman" w:hAnsi="Times New Roman" w:cs="Times New Roman"/>
                <w:sz w:val="28"/>
                <w:szCs w:val="28"/>
              </w:rPr>
              <w:t>: 10.1159/000181014</w:t>
            </w:r>
          </w:p>
        </w:tc>
      </w:tr>
      <w:tr w:rsidR="00AD6F16" w:rsidRPr="00E506D5" w:rsidTr="00280714">
        <w:trPr>
          <w:tblCellSpacing w:w="0" w:type="dxa"/>
        </w:trPr>
        <w:tc>
          <w:tcPr>
            <w:tcW w:w="1508" w:type="dxa"/>
          </w:tcPr>
          <w:p w:rsidR="00AD6F16" w:rsidRPr="00E506D5" w:rsidRDefault="00AD6F16" w:rsidP="00280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</w:tcPr>
          <w:p w:rsidR="00AD6F16" w:rsidRPr="00E506D5" w:rsidRDefault="00C24365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Van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Avondt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K., van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Sorge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N.M., </w:t>
            </w:r>
            <w:proofErr w:type="spellStart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Meyaard</w:t>
            </w:r>
            <w:proofErr w:type="spellEnd"/>
            <w:r w:rsidRPr="00C2436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L. Bacterial Immune Evasion through Manipulation of Host Inhibitory Immune Signaling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PLoS</w:t>
            </w:r>
            <w:proofErr w:type="spellEnd"/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Pathogens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2015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Vol. 11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no.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C243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e1004644</w:t>
            </w:r>
            <w:r w:rsidR="00AB18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</w:tcPr>
          <w:p w:rsidR="00AD6F16" w:rsidRPr="00E506D5" w:rsidRDefault="0066210F" w:rsidP="0028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1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3266" w:type="dxa"/>
          </w:tcPr>
          <w:p w:rsidR="00AD6F16" w:rsidRPr="00E506D5" w:rsidRDefault="007A0706" w:rsidP="00280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C24365" w:rsidRPr="00C24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10.1371/journal.ppat.1004644</w:t>
            </w:r>
          </w:p>
        </w:tc>
      </w:tr>
    </w:tbl>
    <w:p w:rsidR="00DF7B2E" w:rsidRPr="00E506D5" w:rsidRDefault="00E773C6">
      <w:pPr>
        <w:rPr>
          <w:lang w:val="en-US"/>
        </w:rPr>
      </w:pPr>
    </w:p>
    <w:sectPr w:rsidR="00DF7B2E" w:rsidRPr="00E506D5" w:rsidSect="00AD6F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0CC8"/>
    <w:multiLevelType w:val="hybridMultilevel"/>
    <w:tmpl w:val="27A2DAB8"/>
    <w:lvl w:ilvl="0" w:tplc="16D2C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6"/>
    <w:rsid w:val="000138BB"/>
    <w:rsid w:val="000217C6"/>
    <w:rsid w:val="00096C86"/>
    <w:rsid w:val="000B1C4F"/>
    <w:rsid w:val="000B5666"/>
    <w:rsid w:val="000E36E6"/>
    <w:rsid w:val="0019777F"/>
    <w:rsid w:val="001A6D01"/>
    <w:rsid w:val="00280714"/>
    <w:rsid w:val="002A6F42"/>
    <w:rsid w:val="003E2A27"/>
    <w:rsid w:val="004500F5"/>
    <w:rsid w:val="00483E78"/>
    <w:rsid w:val="004C264D"/>
    <w:rsid w:val="004F47FB"/>
    <w:rsid w:val="00624B30"/>
    <w:rsid w:val="00650BAE"/>
    <w:rsid w:val="0066210F"/>
    <w:rsid w:val="006A38FE"/>
    <w:rsid w:val="007118EA"/>
    <w:rsid w:val="007404BB"/>
    <w:rsid w:val="007A0706"/>
    <w:rsid w:val="00854F6C"/>
    <w:rsid w:val="00862F02"/>
    <w:rsid w:val="008636D2"/>
    <w:rsid w:val="00893B0C"/>
    <w:rsid w:val="00A33ACD"/>
    <w:rsid w:val="00AB18BA"/>
    <w:rsid w:val="00AD6F16"/>
    <w:rsid w:val="00B2533A"/>
    <w:rsid w:val="00B953A7"/>
    <w:rsid w:val="00C21B0C"/>
    <w:rsid w:val="00C21D7C"/>
    <w:rsid w:val="00C24365"/>
    <w:rsid w:val="00C26D1E"/>
    <w:rsid w:val="00C44163"/>
    <w:rsid w:val="00C94423"/>
    <w:rsid w:val="00D8075C"/>
    <w:rsid w:val="00DA18CD"/>
    <w:rsid w:val="00DB7F4A"/>
    <w:rsid w:val="00E506D5"/>
    <w:rsid w:val="00E773C6"/>
    <w:rsid w:val="00EC1984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F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F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10</cp:revision>
  <dcterms:created xsi:type="dcterms:W3CDTF">2019-03-31T08:57:00Z</dcterms:created>
  <dcterms:modified xsi:type="dcterms:W3CDTF">2019-04-15T13:15:00Z</dcterms:modified>
</cp:coreProperties>
</file>