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16" w:rsidRPr="00AD6F16" w:rsidRDefault="00AD6F16" w:rsidP="00AD6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6F16">
        <w:rPr>
          <w:rFonts w:ascii="Times New Roman" w:hAnsi="Times New Roman" w:cs="Times New Roman"/>
          <w:sz w:val="28"/>
          <w:szCs w:val="28"/>
        </w:rPr>
        <w:t>Литература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08"/>
        <w:gridCol w:w="4956"/>
        <w:gridCol w:w="4961"/>
        <w:gridCol w:w="3266"/>
      </w:tblGrid>
      <w:tr w:rsidR="00AD6F16" w:rsidRPr="000E36E6" w:rsidTr="000E36E6">
        <w:trPr>
          <w:trHeight w:val="894"/>
          <w:tblCellSpacing w:w="0" w:type="dxa"/>
        </w:trPr>
        <w:tc>
          <w:tcPr>
            <w:tcW w:w="1508" w:type="dxa"/>
            <w:hideMark/>
          </w:tcPr>
          <w:p w:rsidR="00B953A7" w:rsidRPr="000E36E6" w:rsidRDefault="00AD6F16" w:rsidP="000E3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6E6">
              <w:rPr>
                <w:rFonts w:ascii="Times New Roman" w:hAnsi="Times New Roman" w:cs="Times New Roman"/>
                <w:bCs/>
                <w:sz w:val="28"/>
                <w:szCs w:val="28"/>
              </w:rPr>
              <w:t>Порядковый номер ссылки</w:t>
            </w:r>
          </w:p>
        </w:tc>
        <w:tc>
          <w:tcPr>
            <w:tcW w:w="4956" w:type="dxa"/>
            <w:hideMark/>
          </w:tcPr>
          <w:p w:rsidR="00B953A7" w:rsidRPr="000E36E6" w:rsidRDefault="00AD6F16" w:rsidP="000E3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6E6">
              <w:rPr>
                <w:rFonts w:ascii="Times New Roman" w:hAnsi="Times New Roman" w:cs="Times New Roman"/>
                <w:bCs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961" w:type="dxa"/>
            <w:hideMark/>
          </w:tcPr>
          <w:p w:rsidR="00B953A7" w:rsidRPr="000E36E6" w:rsidRDefault="00AD6F16" w:rsidP="000E3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6E6">
              <w:rPr>
                <w:rFonts w:ascii="Times New Roman" w:hAnsi="Times New Roman" w:cs="Times New Roman"/>
                <w:bCs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3266" w:type="dxa"/>
            <w:hideMark/>
          </w:tcPr>
          <w:p w:rsidR="00B953A7" w:rsidRPr="000E36E6" w:rsidRDefault="00AD6F16" w:rsidP="000E3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Полный интернет-адрес (URL) цитируемой статьи или ее </w:t>
            </w:r>
            <w:proofErr w:type="spellStart"/>
            <w:r w:rsidRPr="000E36E6">
              <w:rPr>
                <w:rFonts w:ascii="Times New Roman" w:hAnsi="Times New Roman" w:cs="Times New Roman"/>
                <w:bCs/>
                <w:sz w:val="28"/>
                <w:szCs w:val="28"/>
              </w:rPr>
              <w:t>doi</w:t>
            </w:r>
            <w:proofErr w:type="spellEnd"/>
          </w:p>
        </w:tc>
      </w:tr>
      <w:tr w:rsidR="00096C86" w:rsidRPr="004C264D" w:rsidTr="00280714">
        <w:trPr>
          <w:tblCellSpacing w:w="0" w:type="dxa"/>
        </w:trPr>
        <w:tc>
          <w:tcPr>
            <w:tcW w:w="1508" w:type="dxa"/>
          </w:tcPr>
          <w:p w:rsidR="00096C86" w:rsidRPr="000E36E6" w:rsidRDefault="00096C86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096C86" w:rsidRPr="000E36E6" w:rsidRDefault="00096C86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Гончаров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А.Г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Фрейндлин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И.С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., Смирнов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., 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Ботвиньева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В.В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Щупленцева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В.В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Ариненко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Р.Ю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. Основы клинической иммунологии и методологические подходы к оценке иммунного статуса: Практикум</w:t>
            </w:r>
            <w:proofErr w:type="gram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proofErr w:type="gram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од общей редакцией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М.Г.Романцева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. – Калининград: </w:t>
            </w:r>
            <w:r w:rsidR="00893B0C" w:rsidRPr="00893B0C">
              <w:rPr>
                <w:rFonts w:ascii="Times New Roman" w:hAnsi="Times New Roman" w:cs="Times New Roman"/>
                <w:sz w:val="28"/>
                <w:szCs w:val="28"/>
              </w:rPr>
              <w:t>Калининградский университет</w:t>
            </w:r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, 1997. – 73 с. </w:t>
            </w:r>
          </w:p>
        </w:tc>
        <w:tc>
          <w:tcPr>
            <w:tcW w:w="4961" w:type="dxa"/>
          </w:tcPr>
          <w:p w:rsidR="00096C86" w:rsidRPr="00096C86" w:rsidRDefault="00096C86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Goncharov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A.G.,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Freindlin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I.S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Smirnov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V.S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Botvineva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Shchuplentseva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Arinenko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R.Yu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Fundamentals of clinical immunology and methodological approaches to the assessment of the immune status: Practicum / Under the general editorship of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Romantsev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096C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Kaliningrad: </w:t>
            </w:r>
            <w:r w:rsidR="00893B0C" w:rsidRPr="00893B0C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>Kaliningrad University</w:t>
            </w:r>
            <w:r w:rsidRPr="00096C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1997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r w:rsidRPr="00096C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73 p.</w:t>
            </w:r>
            <w:r w:rsidR="00483E78" w:rsidRPr="00483E78">
              <w:rPr>
                <w:sz w:val="14"/>
                <w:szCs w:val="14"/>
              </w:rPr>
              <w:t xml:space="preserve"> </w:t>
            </w:r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Russ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66" w:type="dxa"/>
          </w:tcPr>
          <w:p w:rsidR="00096C86" w:rsidRPr="00096C86" w:rsidRDefault="00096C86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http://window.edu.ru/resource/530/22530/files/romancov.pdf</w:t>
            </w:r>
          </w:p>
        </w:tc>
      </w:tr>
      <w:tr w:rsidR="00B2533A" w:rsidRPr="004C264D" w:rsidTr="00280714">
        <w:trPr>
          <w:tblCellSpacing w:w="0" w:type="dxa"/>
        </w:trPr>
        <w:tc>
          <w:tcPr>
            <w:tcW w:w="1508" w:type="dxa"/>
          </w:tcPr>
          <w:p w:rsidR="00B2533A" w:rsidRPr="00096C86" w:rsidRDefault="00B2533A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B2533A" w:rsidRPr="000E36E6" w:rsidRDefault="00B2533A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Караулов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>А.В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>Калюжин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. Сфера применения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>мурамилпептидов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основных подходов к иммунотерапии/иммунопрофилактике инфекционных болезней // Физиология и патология иммунной системы.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>Иммунофармакогеномика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2013. Т. 17,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 5. С. 3-15. </w:t>
            </w:r>
          </w:p>
        </w:tc>
        <w:tc>
          <w:tcPr>
            <w:tcW w:w="4961" w:type="dxa"/>
          </w:tcPr>
          <w:p w:rsidR="00B2533A" w:rsidRPr="00B2533A" w:rsidRDefault="00B2533A" w:rsidP="00483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Karaulov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A.V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Kalyuzhin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O.V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phere of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muramyl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dipeptide application within the major approaches to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immunotherapy/prophylaxis of infectious diseases.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Fiziologiya</w:t>
            </w:r>
            <w:proofErr w:type="spellEnd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patologiya</w:t>
            </w:r>
            <w:proofErr w:type="spellEnd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immunnoj</w:t>
            </w:r>
            <w:proofErr w:type="spellEnd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sistemy</w:t>
            </w:r>
            <w:proofErr w:type="spellEnd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Immunofarmakogenomika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Physiology and </w:t>
            </w:r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athology of the </w:t>
            </w:r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mmune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ystem.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Immunopharmacogenomics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Vol. 17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no. 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pp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3-15.</w:t>
            </w:r>
            <w:r w:rsidR="00483E78" w:rsidRPr="00483E78">
              <w:rPr>
                <w:sz w:val="14"/>
                <w:szCs w:val="14"/>
                <w:lang w:val="en-US"/>
              </w:rPr>
              <w:t xml:space="preserve"> </w:t>
            </w:r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Russ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66" w:type="dxa"/>
          </w:tcPr>
          <w:p w:rsidR="00B2533A" w:rsidRPr="00B2533A" w:rsidRDefault="00B2533A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https://elibrary.ru/item.asp?id=21776658</w:t>
            </w:r>
          </w:p>
        </w:tc>
      </w:tr>
      <w:tr w:rsidR="00624B30" w:rsidRPr="004C264D" w:rsidTr="00280714">
        <w:trPr>
          <w:tblCellSpacing w:w="0" w:type="dxa"/>
        </w:trPr>
        <w:tc>
          <w:tcPr>
            <w:tcW w:w="1508" w:type="dxa"/>
          </w:tcPr>
          <w:p w:rsidR="00624B30" w:rsidRPr="00096C86" w:rsidRDefault="00624B30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624B30" w:rsidRPr="00B2533A" w:rsidRDefault="00624B30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Летяева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О.И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Зиганшин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О.Р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Маркеева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Д.А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., Блохина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Ю.В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., Алексеева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Н.Ю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., Баранова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Н.И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Калюжин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24B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Клиническая и цитокин-модулирующая эффективность композиции трех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мурамилпептидов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, содержащих остаток мезо-диаминопимелиновой кислоты, при хронической пиодермии // Русский медицинский журнал, 2018. №</w:t>
            </w:r>
            <w:r w:rsidR="00021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8 (I). C. 9-13.</w:t>
            </w:r>
          </w:p>
        </w:tc>
        <w:tc>
          <w:tcPr>
            <w:tcW w:w="4961" w:type="dxa"/>
          </w:tcPr>
          <w:p w:rsidR="00624B30" w:rsidRPr="00624B30" w:rsidRDefault="00624B30" w:rsidP="0071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Letyaeva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O.I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Ziganshin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O.R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Markeeva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D.A.,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Blokhina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Yu.V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Alekseeva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N.Yu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Baranova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N.I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Kalyuzhin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Clinical 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and cytokine-modulating efficacy of a composition of three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muramylpeptides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containing a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meso-diaminopimelic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acid residue in the chronic pyoderma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24B30">
              <w:rPr>
                <w:lang w:val="en-US"/>
              </w:rPr>
              <w:t xml:space="preserve"> </w:t>
            </w:r>
            <w:proofErr w:type="spellStart"/>
            <w:r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Russkij</w:t>
            </w:r>
            <w:proofErr w:type="spellEnd"/>
            <w:r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</w:t>
            </w:r>
            <w:r w:rsidR="007118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ts</w:t>
            </w:r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inskij</w:t>
            </w:r>
            <w:proofErr w:type="spellEnd"/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hurnal</w:t>
            </w:r>
            <w:proofErr w:type="spellEnd"/>
            <w:r w:rsidR="001A6D01"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Russian Medical </w:t>
            </w:r>
            <w:r w:rsidR="002807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</w:t>
            </w:r>
            <w:r w:rsidR="001A6D01"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ournal, </w:t>
            </w:r>
            <w:r w:rsidR="001A6D01" w:rsidRP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2018</w:t>
            </w:r>
            <w:r w:rsidR="001A6D01"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no</w:t>
            </w:r>
            <w:r w:rsidR="001A6D01" w:rsidRP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8 (I)</w:t>
            </w:r>
            <w:r w:rsidR="001A6D01"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pp</w:t>
            </w:r>
            <w:r w:rsidR="001A6D01" w:rsidRP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9-13.</w:t>
            </w:r>
            <w:r w:rsidR="00483E78" w:rsidRPr="00483E78">
              <w:rPr>
                <w:sz w:val="14"/>
                <w:szCs w:val="14"/>
                <w:lang w:val="en-US"/>
              </w:rPr>
              <w:t xml:space="preserve"> </w:t>
            </w:r>
            <w:r w:rsidR="00483E78" w:rsidRPr="00483E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(In Russ.)</w:t>
            </w:r>
          </w:p>
        </w:tc>
        <w:tc>
          <w:tcPr>
            <w:tcW w:w="3266" w:type="dxa"/>
          </w:tcPr>
          <w:p w:rsidR="00624B30" w:rsidRPr="00624B30" w:rsidRDefault="001A6D01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https://www.rmj.ru/articles/allergologiya/Klinicheskaya_i_citokin-</w:t>
            </w:r>
            <w:r w:rsidRPr="001A6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moduliruyuschaya_effektivnosty_kompozicii_treh_muramilpeptidov_soderghaschih_ostatok_mezo-diaminopimelinovoy_kisloty_pri_hronicheskoy_piodermii/</w:t>
            </w:r>
          </w:p>
        </w:tc>
      </w:tr>
      <w:tr w:rsidR="00893B0C" w:rsidRPr="004C264D" w:rsidTr="00280714">
        <w:trPr>
          <w:tblCellSpacing w:w="0" w:type="dxa"/>
        </w:trPr>
        <w:tc>
          <w:tcPr>
            <w:tcW w:w="1508" w:type="dxa"/>
          </w:tcPr>
          <w:p w:rsidR="00893B0C" w:rsidRPr="00096C86" w:rsidRDefault="00893B0C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893B0C" w:rsidRPr="00893B0C" w:rsidRDefault="00893B0C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B0C">
              <w:rPr>
                <w:rFonts w:ascii="Times New Roman" w:hAnsi="Times New Roman" w:cs="Times New Roman"/>
                <w:sz w:val="28"/>
                <w:szCs w:val="28"/>
              </w:rPr>
              <w:t>Маянский</w:t>
            </w:r>
            <w:proofErr w:type="spellEnd"/>
            <w:r w:rsidRPr="00893B0C">
              <w:rPr>
                <w:rFonts w:ascii="Times New Roman" w:hAnsi="Times New Roman" w:cs="Times New Roman"/>
                <w:sz w:val="28"/>
                <w:szCs w:val="28"/>
              </w:rPr>
              <w:t xml:space="preserve"> А. Н.    Лекции    по    иммунологии. –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Новгород: </w:t>
            </w:r>
            <w:r w:rsidR="0066210F" w:rsidRPr="0066210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6210F" w:rsidRPr="0066210F">
              <w:rPr>
                <w:rFonts w:ascii="Times New Roman" w:hAnsi="Times New Roman" w:cs="Times New Roman"/>
                <w:bCs/>
                <w:sz w:val="28"/>
                <w:szCs w:val="28"/>
              </w:rPr>
              <w:t>ижегородская</w:t>
            </w:r>
            <w:r w:rsidR="0066210F" w:rsidRPr="00662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10F" w:rsidRPr="0066210F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государственная</w:t>
            </w:r>
            <w:r w:rsidR="0066210F" w:rsidRPr="00662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10F" w:rsidRPr="0066210F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медицинская</w:t>
            </w:r>
            <w:r w:rsidR="0066210F" w:rsidRPr="00662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10F" w:rsidRPr="0066210F">
              <w:rPr>
                <w:rFonts w:ascii="Times New Roman" w:hAnsi="Times New Roman" w:cs="Times New Roman"/>
                <w:bCs/>
                <w:sz w:val="28"/>
                <w:szCs w:val="28"/>
              </w:rPr>
              <w:t>академия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2003. – 272 с. </w:t>
            </w:r>
          </w:p>
        </w:tc>
        <w:tc>
          <w:tcPr>
            <w:tcW w:w="4961" w:type="dxa"/>
          </w:tcPr>
          <w:p w:rsidR="00893B0C" w:rsidRPr="00483E78" w:rsidRDefault="00893B0C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93B0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Mayansky</w:t>
            </w:r>
            <w:proofErr w:type="spellEnd"/>
            <w:r w:rsidRPr="00893B0C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893B0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A.N</w:t>
            </w:r>
            <w:proofErr w:type="spellEnd"/>
            <w:r w:rsidRPr="00893B0C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. Lectures on immunology. </w:t>
            </w:r>
            <w:r w:rsidRPr="0066210F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 xml:space="preserve">N. Novgorod: N. Novgorod </w:t>
            </w:r>
            <w:r w:rsidRPr="0066210F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State Medical Academy,</w:t>
            </w:r>
            <w:r w:rsidRPr="0066210F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 xml:space="preserve"> 2003</w:t>
            </w:r>
            <w:r w:rsidRPr="006621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="0066210F" w:rsidRPr="006621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272 </w:t>
            </w:r>
            <w:r w:rsidR="0066210F" w:rsidRPr="0066210F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p.</w:t>
            </w:r>
            <w:r w:rsidR="00483E78" w:rsidRPr="00483E78">
              <w:rPr>
                <w:sz w:val="14"/>
                <w:szCs w:val="14"/>
                <w:lang w:val="en-US"/>
              </w:rPr>
              <w:t xml:space="preserve"> </w:t>
            </w:r>
            <w:r w:rsidR="00483E78" w:rsidRPr="00483E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(In Russ.)</w:t>
            </w:r>
          </w:p>
        </w:tc>
        <w:tc>
          <w:tcPr>
            <w:tcW w:w="3266" w:type="dxa"/>
          </w:tcPr>
          <w:p w:rsidR="00893B0C" w:rsidRPr="001A6D01" w:rsidRDefault="0066210F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http://www.medicum.nnov.ru/izd_ngma/immunology.php</w:t>
            </w:r>
          </w:p>
        </w:tc>
      </w:tr>
      <w:tr w:rsidR="000217C6" w:rsidRPr="00A33ACD" w:rsidTr="00280714">
        <w:trPr>
          <w:tblCellSpacing w:w="0" w:type="dxa"/>
        </w:trPr>
        <w:tc>
          <w:tcPr>
            <w:tcW w:w="1508" w:type="dxa"/>
          </w:tcPr>
          <w:p w:rsidR="000217C6" w:rsidRPr="00096C86" w:rsidRDefault="000217C6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0217C6" w:rsidRPr="00A33ACD" w:rsidRDefault="00A33ACD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ACD">
              <w:rPr>
                <w:rFonts w:ascii="Times New Roman" w:hAnsi="Times New Roman" w:cs="Times New Roman"/>
                <w:bCs/>
                <w:sz w:val="28"/>
                <w:szCs w:val="28"/>
              </w:rPr>
              <w:t>Сетдикова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3ACD">
              <w:rPr>
                <w:rFonts w:ascii="Times New Roman" w:hAnsi="Times New Roman" w:cs="Times New Roman"/>
                <w:sz w:val="28"/>
                <w:szCs w:val="28"/>
              </w:rPr>
              <w:t>Н.Х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A33ACD">
              <w:rPr>
                <w:rFonts w:ascii="Times New Roman" w:hAnsi="Times New Roman" w:cs="Times New Roman"/>
                <w:bCs/>
                <w:sz w:val="28"/>
                <w:szCs w:val="28"/>
              </w:rPr>
              <w:t>Латышева</w:t>
            </w:r>
            <w:r w:rsidRPr="00A33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3ACD">
              <w:rPr>
                <w:rFonts w:ascii="Times New Roman" w:hAnsi="Times New Roman" w:cs="Times New Roman"/>
                <w:sz w:val="28"/>
                <w:szCs w:val="28"/>
              </w:rPr>
              <w:t>Т.В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</w:rPr>
              <w:t xml:space="preserve">., Пинегин </w:t>
            </w:r>
            <w:proofErr w:type="spellStart"/>
            <w:r w:rsidRPr="00A33ACD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</w:rPr>
              <w:t xml:space="preserve">., Ильина </w:t>
            </w:r>
            <w:proofErr w:type="spellStart"/>
            <w:r w:rsidRPr="00A33ACD">
              <w:rPr>
                <w:rFonts w:ascii="Times New Roman" w:hAnsi="Times New Roman" w:cs="Times New Roman"/>
                <w:sz w:val="28"/>
                <w:szCs w:val="28"/>
              </w:rPr>
              <w:t>Н.И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33ACD">
              <w:rPr>
                <w:rFonts w:ascii="Times New Roman" w:hAnsi="Times New Roman" w:cs="Times New Roman"/>
                <w:bCs/>
                <w:sz w:val="28"/>
                <w:szCs w:val="28"/>
              </w:rPr>
              <w:t>Иммунодефициты</w:t>
            </w:r>
            <w:r w:rsidRPr="00A33AC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33ACD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принципы</w:t>
            </w:r>
            <w:r w:rsidRPr="00A33ACD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диагностики и </w:t>
            </w:r>
            <w:r w:rsidRPr="00A33ACD">
              <w:rPr>
                <w:rFonts w:ascii="Times New Roman" w:hAnsi="Times New Roman" w:cs="Times New Roman"/>
                <w:bCs/>
                <w:sz w:val="28"/>
                <w:szCs w:val="28"/>
              </w:rPr>
              <w:t>лечения.</w:t>
            </w:r>
            <w:r w:rsidRPr="00A33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ACD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осква</w:t>
            </w:r>
            <w:r w:rsidRPr="00A33A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33ACD">
              <w:rPr>
                <w:rFonts w:ascii="Times New Roman" w:hAnsi="Times New Roman" w:cs="Times New Roman"/>
                <w:bCs/>
                <w:sz w:val="28"/>
                <w:szCs w:val="28"/>
              </w:rPr>
              <w:t>Фармарус</w:t>
            </w:r>
            <w:proofErr w:type="spellEnd"/>
            <w:r w:rsidRPr="00A33A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3ACD">
              <w:rPr>
                <w:rFonts w:ascii="Times New Roman" w:hAnsi="Times New Roman" w:cs="Times New Roman"/>
                <w:bCs/>
                <w:sz w:val="28"/>
                <w:szCs w:val="28"/>
              </w:rPr>
              <w:t>Принт</w:t>
            </w:r>
            <w:proofErr w:type="spellEnd"/>
            <w:r w:rsidRPr="00A33ACD">
              <w:rPr>
                <w:rFonts w:ascii="Times New Roman" w:hAnsi="Times New Roman" w:cs="Times New Roman"/>
                <w:bCs/>
                <w:sz w:val="28"/>
                <w:szCs w:val="28"/>
              </w:rPr>
              <w:t>, 2006. – 20 с.</w:t>
            </w:r>
            <w:r w:rsidRPr="00A33A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0217C6" w:rsidRPr="00A33ACD" w:rsidRDefault="000217C6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Setdikova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Latysheva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Pinegin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Il</w:t>
            </w:r>
            <w:r w:rsidR="00A33AC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</w:t>
            </w:r>
            <w:proofErr w:type="spellStart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ina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Immunodeficiency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principles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of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diagnosis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and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treatment</w:t>
            </w:r>
            <w:r w:rsidR="00A33ACD"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33ACD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>M</w:t>
            </w:r>
            <w:proofErr w:type="spellStart"/>
            <w:r w:rsidR="00A33ACD" w:rsidRPr="00A33ACD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oscow</w:t>
            </w:r>
            <w:proofErr w:type="spellEnd"/>
            <w:r w:rsidRPr="00A33A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A33ACD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>Farmarus</w:t>
            </w:r>
            <w:proofErr w:type="spellEnd"/>
            <w:r w:rsidRPr="00A33A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33ACD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>Print</w:t>
            </w:r>
            <w:r w:rsidRPr="00A33ACD">
              <w:rPr>
                <w:rFonts w:ascii="Times New Roman" w:hAnsi="Times New Roman" w:cs="Times New Roman"/>
                <w:i/>
                <w:sz w:val="28"/>
                <w:szCs w:val="28"/>
              </w:rPr>
              <w:t>, 2006</w:t>
            </w:r>
            <w:r w:rsidR="00A33ACD" w:rsidRPr="00A33AC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A33A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 </w:t>
            </w:r>
            <w:r w:rsidRPr="00A33ACD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>p</w:t>
            </w:r>
            <w:r w:rsidRPr="00A33AC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483E78" w:rsidRPr="00483E78">
              <w:rPr>
                <w:sz w:val="14"/>
                <w:szCs w:val="14"/>
              </w:rPr>
              <w:t xml:space="preserve"> </w:t>
            </w:r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Russ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66" w:type="dxa"/>
          </w:tcPr>
          <w:p w:rsidR="000217C6" w:rsidRPr="00A33ACD" w:rsidRDefault="00A33ACD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CD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http</w:t>
            </w:r>
            <w:r w:rsidRPr="00A33ACD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A33ACD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rusalljournal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33ACD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ru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attachment</w:t>
            </w:r>
            <w:r w:rsidRPr="00A33ACD">
              <w:rPr>
                <w:rFonts w:ascii="Times New Roman" w:hAnsi="Times New Roman" w:cs="Times New Roman"/>
                <w:sz w:val="28"/>
                <w:szCs w:val="28"/>
              </w:rPr>
              <w:t>/492_</w:t>
            </w:r>
            <w:proofErr w:type="spellStart"/>
            <w:r w:rsidRPr="00A33ACD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prilozhenie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33ACD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setdikova</w:t>
            </w:r>
            <w:proofErr w:type="spellEnd"/>
            <w:r w:rsidRPr="00A33A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3ACD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pdf</w:t>
            </w:r>
          </w:p>
        </w:tc>
      </w:tr>
      <w:tr w:rsidR="000217C6" w:rsidRPr="004C264D" w:rsidTr="00280714">
        <w:trPr>
          <w:tblCellSpacing w:w="0" w:type="dxa"/>
        </w:trPr>
        <w:tc>
          <w:tcPr>
            <w:tcW w:w="1508" w:type="dxa"/>
          </w:tcPr>
          <w:p w:rsidR="000217C6" w:rsidRPr="00A33ACD" w:rsidRDefault="000217C6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0217C6" w:rsidRPr="00893B0C" w:rsidRDefault="000217C6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7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Хаитов </w:t>
            </w:r>
            <w:proofErr w:type="spellStart"/>
            <w:r w:rsidRPr="000217C6">
              <w:rPr>
                <w:rFonts w:ascii="Times New Roman" w:hAnsi="Times New Roman" w:cs="Times New Roman"/>
                <w:iCs/>
                <w:sz w:val="28"/>
                <w:szCs w:val="28"/>
              </w:rPr>
              <w:t>Р.М</w:t>
            </w:r>
            <w:proofErr w:type="spellEnd"/>
            <w:r w:rsidRPr="000217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., Пинегин </w:t>
            </w:r>
            <w:proofErr w:type="spellStart"/>
            <w:r w:rsidRPr="000217C6">
              <w:rPr>
                <w:rFonts w:ascii="Times New Roman" w:hAnsi="Times New Roman" w:cs="Times New Roman"/>
                <w:iCs/>
                <w:sz w:val="28"/>
                <w:szCs w:val="28"/>
              </w:rPr>
              <w:t>Б.В</w:t>
            </w:r>
            <w:proofErr w:type="spellEnd"/>
            <w:r w:rsidRPr="000217C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21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217C6">
              <w:rPr>
                <w:rFonts w:ascii="Times New Roman" w:hAnsi="Times New Roman" w:cs="Times New Roman"/>
                <w:sz w:val="28"/>
                <w:szCs w:val="28"/>
              </w:rPr>
              <w:t>Современные</w:t>
            </w:r>
            <w:proofErr w:type="gramEnd"/>
            <w:r w:rsidRPr="000217C6">
              <w:rPr>
                <w:rFonts w:ascii="Times New Roman" w:hAnsi="Times New Roman" w:cs="Times New Roman"/>
                <w:sz w:val="28"/>
                <w:szCs w:val="28"/>
              </w:rPr>
              <w:t xml:space="preserve"> иммуномодуляторы. Классификация. Механизм действия.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r w:rsidRPr="000217C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217C6">
              <w:rPr>
                <w:rFonts w:ascii="Times New Roman" w:hAnsi="Times New Roman" w:cs="Times New Roman"/>
                <w:sz w:val="28"/>
                <w:szCs w:val="28"/>
              </w:rPr>
              <w:t>Фармарус</w:t>
            </w:r>
            <w:proofErr w:type="spellEnd"/>
            <w:r w:rsidRPr="00021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17C6">
              <w:rPr>
                <w:rFonts w:ascii="Times New Roman" w:hAnsi="Times New Roman" w:cs="Times New Roman"/>
                <w:sz w:val="28"/>
                <w:szCs w:val="28"/>
              </w:rPr>
              <w:t>Принт</w:t>
            </w:r>
            <w:proofErr w:type="spellEnd"/>
            <w:r w:rsidRPr="000217C6">
              <w:rPr>
                <w:rFonts w:ascii="Times New Roman" w:hAnsi="Times New Roman" w:cs="Times New Roman"/>
                <w:sz w:val="28"/>
                <w:szCs w:val="28"/>
              </w:rPr>
              <w:t xml:space="preserve">, 2005. – 27 с. </w:t>
            </w:r>
          </w:p>
        </w:tc>
        <w:tc>
          <w:tcPr>
            <w:tcW w:w="4961" w:type="dxa"/>
          </w:tcPr>
          <w:p w:rsidR="000217C6" w:rsidRPr="000217C6" w:rsidRDefault="000217C6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Khaitov</w:t>
            </w:r>
            <w:proofErr w:type="spellEnd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Pinegin</w:t>
            </w:r>
            <w:proofErr w:type="spellEnd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B.V</w:t>
            </w:r>
            <w:proofErr w:type="spellEnd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. Modern </w:t>
            </w:r>
            <w:proofErr w:type="spellStart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immunomodulators</w:t>
            </w:r>
            <w:proofErr w:type="spellEnd"/>
            <w:r w:rsidRPr="000217C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. Classification. Mechanism of action. </w:t>
            </w:r>
            <w:r w:rsidRPr="000217C6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>M</w:t>
            </w:r>
            <w:proofErr w:type="spellStart"/>
            <w:r w:rsidRPr="000217C6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oscow</w:t>
            </w:r>
            <w:proofErr w:type="spellEnd"/>
            <w:r w:rsidRPr="000217C6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 xml:space="preserve">: </w:t>
            </w:r>
            <w:proofErr w:type="spellStart"/>
            <w:r w:rsidRPr="000217C6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>Farmarus</w:t>
            </w:r>
            <w:proofErr w:type="spellEnd"/>
            <w:r w:rsidRPr="000217C6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 xml:space="preserve"> Print, 2005, 27 p.</w:t>
            </w:r>
            <w:r w:rsidR="00483E78" w:rsidRPr="004C264D">
              <w:rPr>
                <w:sz w:val="14"/>
                <w:szCs w:val="14"/>
                <w:lang w:val="en-US"/>
              </w:rPr>
              <w:t xml:space="preserve"> </w:t>
            </w:r>
            <w:r w:rsidR="00483E78" w:rsidRPr="004C26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(In Russ.)</w:t>
            </w:r>
          </w:p>
        </w:tc>
        <w:tc>
          <w:tcPr>
            <w:tcW w:w="3266" w:type="dxa"/>
          </w:tcPr>
          <w:p w:rsidR="000217C6" w:rsidRPr="000217C6" w:rsidRDefault="000217C6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17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https://docplayer.ru/337849-Sovremennye-immunomodulyatory-klassifikaciya-mehanizm-deystviya.html</w:t>
            </w:r>
          </w:p>
        </w:tc>
      </w:tr>
      <w:tr w:rsidR="00650BAE" w:rsidRPr="00650BAE" w:rsidTr="00280714">
        <w:trPr>
          <w:tblCellSpacing w:w="0" w:type="dxa"/>
        </w:trPr>
        <w:tc>
          <w:tcPr>
            <w:tcW w:w="1508" w:type="dxa"/>
          </w:tcPr>
          <w:p w:rsidR="00650BAE" w:rsidRPr="000217C6" w:rsidRDefault="00650BAE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650BAE" w:rsidRPr="00650BAE" w:rsidRDefault="00650BAE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Хайдуков</w:t>
            </w:r>
            <w:proofErr w:type="spellEnd"/>
            <w:r w:rsidRPr="004C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C2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C264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Байдун</w:t>
            </w:r>
            <w:proofErr w:type="spellEnd"/>
            <w:r w:rsidRPr="004C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C2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264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Зурочка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А.В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Тотолян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 xml:space="preserve">. Стандартизованная технология «исследование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субпопуляционного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 xml:space="preserve"> состава лимфоцитов периферической крови с </w:t>
            </w:r>
            <w:r w:rsidRPr="00650B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применением проточных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цитофлюориметров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-анализаторов» (проект) // Медицинская иммунология, 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14, </w:t>
            </w:r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255-268.</w:t>
            </w:r>
          </w:p>
        </w:tc>
        <w:tc>
          <w:tcPr>
            <w:tcW w:w="4961" w:type="dxa"/>
          </w:tcPr>
          <w:p w:rsidR="00650BAE" w:rsidRPr="00650BAE" w:rsidRDefault="00650BAE" w:rsidP="00483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Khaydukov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Baidun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Zurochka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Totolyan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</w:t>
            </w:r>
            <w:r w:rsidRPr="00650BA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Standardized technology "study of the subpopulation composition of peripheral blood lymphocytes using flow cytometer analyzers" (draft)</w:t>
            </w:r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50BA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Medi</w:t>
            </w:r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ts</w:t>
            </w:r>
            <w:r w:rsidRPr="00650BA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inskaya</w:t>
            </w:r>
            <w:proofErr w:type="spellEnd"/>
            <w:r w:rsidRPr="00650BA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BA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immunologiya</w:t>
            </w:r>
            <w:proofErr w:type="spellEnd"/>
            <w:r w:rsidRPr="00650BA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</w:t>
            </w:r>
            <w:r w:rsidRPr="00650BA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Medical Immunology,</w:t>
            </w:r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50BA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2012, Vol.14, no. 3, pp. 255-268.</w:t>
            </w:r>
            <w:r w:rsidR="00483E78" w:rsidRPr="00483E78">
              <w:rPr>
                <w:sz w:val="14"/>
                <w:szCs w:val="14"/>
              </w:rPr>
              <w:t xml:space="preserve"> </w:t>
            </w:r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Russ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66" w:type="dxa"/>
          </w:tcPr>
          <w:p w:rsidR="00650BAE" w:rsidRPr="00650BAE" w:rsidRDefault="00650BAE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doi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10.15789/1563-0625-2012-3-255-268</w:t>
            </w:r>
          </w:p>
        </w:tc>
      </w:tr>
      <w:tr w:rsidR="00AD6F16" w:rsidRPr="00E506D5" w:rsidTr="00280714">
        <w:trPr>
          <w:tblCellSpacing w:w="0" w:type="dxa"/>
        </w:trPr>
        <w:tc>
          <w:tcPr>
            <w:tcW w:w="1508" w:type="dxa"/>
          </w:tcPr>
          <w:p w:rsidR="00AD6F16" w:rsidRPr="00650BAE" w:rsidRDefault="00AD6F16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AD6F16" w:rsidRPr="00E506D5" w:rsidRDefault="00E506D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Askarian</w:t>
            </w:r>
            <w:proofErr w:type="spellEnd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Wagner T., </w:t>
            </w:r>
            <w:proofErr w:type="spellStart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Johannessen</w:t>
            </w:r>
            <w:proofErr w:type="spellEnd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Nizet</w:t>
            </w:r>
            <w:proofErr w:type="spellEnd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 Staphylococcus aureus modulation of innate immune responses through Toll-like (TLR), (NOD)-like (NLR) and C-type lectin (CLR) receptors. </w:t>
            </w:r>
            <w:r w:rsidRPr="00E506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FEMS Microbiology Reviews, 2018, Vol. 42,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no. </w:t>
            </w:r>
            <w:r w:rsidRPr="00E506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5,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pp. 656-671.</w:t>
            </w:r>
          </w:p>
        </w:tc>
        <w:tc>
          <w:tcPr>
            <w:tcW w:w="4961" w:type="dxa"/>
          </w:tcPr>
          <w:p w:rsidR="00AD6F16" w:rsidRPr="0066210F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AD6F16" w:rsidRPr="00E506D5" w:rsidRDefault="00E506D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10.1093/</w:t>
            </w:r>
            <w:proofErr w:type="spellStart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femsre</w:t>
            </w:r>
            <w:proofErr w:type="spellEnd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/fuy025</w:t>
            </w:r>
          </w:p>
        </w:tc>
      </w:tr>
      <w:tr w:rsidR="007404BB" w:rsidRPr="00E506D5" w:rsidTr="00280714">
        <w:trPr>
          <w:tblCellSpacing w:w="0" w:type="dxa"/>
        </w:trPr>
        <w:tc>
          <w:tcPr>
            <w:tcW w:w="1508" w:type="dxa"/>
          </w:tcPr>
          <w:p w:rsidR="007404BB" w:rsidRPr="00B2533A" w:rsidRDefault="007404BB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7404BB" w:rsidRPr="00E506D5" w:rsidRDefault="007404BB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Bitschar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Wolz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Krismer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Peschel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Schittek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 Keratinocytes as sensors and central players in the immune defense against Staphylococcus aureus in the skin.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Dermatol</w:t>
            </w:r>
            <w:proofErr w:type="spellEnd"/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Sci., 2017</w:t>
            </w:r>
            <w:r w:rsid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Vol.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87</w:t>
            </w:r>
            <w:r w:rsid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no.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pp.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215-220.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7404BB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7404BB" w:rsidRPr="00E506D5" w:rsidRDefault="007404BB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10.1016/j.jdermsci.2017.06.003</w:t>
            </w:r>
          </w:p>
        </w:tc>
      </w:tr>
      <w:tr w:rsidR="003E2A27" w:rsidRPr="00E506D5" w:rsidTr="00280714">
        <w:trPr>
          <w:tblCellSpacing w:w="0" w:type="dxa"/>
        </w:trPr>
        <w:tc>
          <w:tcPr>
            <w:tcW w:w="1508" w:type="dxa"/>
          </w:tcPr>
          <w:p w:rsidR="003E2A27" w:rsidRPr="00B2533A" w:rsidRDefault="003E2A27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3E2A27" w:rsidRPr="007404BB" w:rsidRDefault="003E2A27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Campbell L., Williams H., Crompton R.A., </w:t>
            </w:r>
            <w:proofErr w:type="spellStart"/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Cruickhank</w:t>
            </w:r>
            <w:proofErr w:type="spellEnd"/>
            <w:r w:rsid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S.M</w:t>
            </w:r>
            <w:proofErr w:type="spellEnd"/>
            <w:r w:rsid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Hardman</w:t>
            </w:r>
            <w:r w:rsid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</w:t>
            </w:r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proofErr w:type="spellEnd"/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624B30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Nod2 deficiency impairs inflammatory and epithelial aspects of the cutaneous wound-healing response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4B3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624B3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Pathol</w:t>
            </w:r>
            <w:proofErr w:type="spellEnd"/>
            <w:r w:rsidRPr="00624B3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="00624B30" w:rsidRPr="00624B3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="00624B30" w:rsidRP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2013,</w:t>
            </w:r>
            <w:r w:rsid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624B30" w:rsidRP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Vol. </w:t>
            </w:r>
            <w:r w:rsidRPr="00624B3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229</w:t>
            </w:r>
            <w:r w:rsidRP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="00624B30" w:rsidRP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pp. </w:t>
            </w:r>
            <w:r w:rsidRP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121</w:t>
            </w:r>
            <w:r w:rsidR="00624B30" w:rsidRP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-131.</w:t>
            </w:r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3E2A27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3E2A27" w:rsidRDefault="00624B30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10.1002/path.4095</w:t>
            </w:r>
          </w:p>
        </w:tc>
      </w:tr>
      <w:tr w:rsidR="00624B30" w:rsidRPr="00E506D5" w:rsidTr="00280714">
        <w:trPr>
          <w:tblCellSpacing w:w="0" w:type="dxa"/>
        </w:trPr>
        <w:tc>
          <w:tcPr>
            <w:tcW w:w="1508" w:type="dxa"/>
          </w:tcPr>
          <w:p w:rsidR="00624B30" w:rsidRPr="00B2533A" w:rsidRDefault="00624B30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624B30" w:rsidRPr="003E2A27" w:rsidRDefault="00624B30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Dagil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Y.A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Arbatsky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N.P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Pashenkov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Alkhazova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B.I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L'vov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V.L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Mazurov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The Dual NOD1/NOD2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Agonism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Muropeptides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Containing a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Meso-Diaminopimelic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Acid Residue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PLoS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 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e0160784. </w:t>
            </w:r>
          </w:p>
        </w:tc>
        <w:tc>
          <w:tcPr>
            <w:tcW w:w="4961" w:type="dxa"/>
          </w:tcPr>
          <w:p w:rsidR="00624B30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–</w:t>
            </w:r>
          </w:p>
        </w:tc>
        <w:tc>
          <w:tcPr>
            <w:tcW w:w="3266" w:type="dxa"/>
          </w:tcPr>
          <w:p w:rsidR="00624B30" w:rsidRPr="003E2A27" w:rsidRDefault="00624B30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doi:10.1371/journal.pone.0160784</w:t>
            </w:r>
          </w:p>
        </w:tc>
      </w:tr>
      <w:tr w:rsidR="007404BB" w:rsidRPr="00E506D5" w:rsidTr="00280714">
        <w:trPr>
          <w:tblCellSpacing w:w="0" w:type="dxa"/>
        </w:trPr>
        <w:tc>
          <w:tcPr>
            <w:tcW w:w="1508" w:type="dxa"/>
          </w:tcPr>
          <w:p w:rsidR="007404BB" w:rsidRPr="00B2533A" w:rsidRDefault="007404BB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7404BB" w:rsidRPr="00E506D5" w:rsidRDefault="007404BB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Fritz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Girardin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Fitting 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Werts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Mengin-Lecreulx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Caroff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Cavaillon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Philpott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Adib-Conquy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Synergistic stimulation of human monocytes and dendritic cells by Toll-like receptor 4 and NOD1- and NOD2-activating agonists.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Eur. J. </w:t>
            </w:r>
            <w:proofErr w:type="spellStart"/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2005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Vol.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no.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pp.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2459-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24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70.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7404BB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7404BB" w:rsidRPr="00E506D5" w:rsidRDefault="007404BB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10.1002/eji.200526286</w:t>
            </w:r>
          </w:p>
        </w:tc>
      </w:tr>
      <w:tr w:rsidR="00C94423" w:rsidRPr="00E506D5" w:rsidTr="00280714">
        <w:trPr>
          <w:tblCellSpacing w:w="0" w:type="dxa"/>
        </w:trPr>
        <w:tc>
          <w:tcPr>
            <w:tcW w:w="1508" w:type="dxa"/>
          </w:tcPr>
          <w:p w:rsidR="00C94423" w:rsidRPr="00B2533A" w:rsidRDefault="00C94423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C94423" w:rsidRPr="007404BB" w:rsidRDefault="00C94423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Ekman </w:t>
            </w:r>
            <w:proofErr w:type="spellStart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A.K</w:t>
            </w:r>
            <w:proofErr w:type="spellEnd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Cardell</w:t>
            </w:r>
            <w:proofErr w:type="spellEnd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L.O</w:t>
            </w:r>
            <w:proofErr w:type="spellEnd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The expression and function of Nod-like receptors in neutrophils. </w:t>
            </w:r>
            <w:r w:rsidRPr="00C9442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Immunology, 2010, Vol. 130, no. 1, pp. 55-63.</w:t>
            </w:r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C94423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C94423" w:rsidRDefault="00C94423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10.1111/j.1365-2567.2009.03212.x</w:t>
            </w:r>
          </w:p>
        </w:tc>
      </w:tr>
      <w:tr w:rsidR="00D8075C" w:rsidRPr="00E506D5" w:rsidTr="00280714">
        <w:trPr>
          <w:tblCellSpacing w:w="0" w:type="dxa"/>
        </w:trPr>
        <w:tc>
          <w:tcPr>
            <w:tcW w:w="1508" w:type="dxa"/>
          </w:tcPr>
          <w:p w:rsidR="00D8075C" w:rsidRPr="00B2533A" w:rsidRDefault="00D8075C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D8075C" w:rsidRPr="007404BB" w:rsidRDefault="00D8075C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Harder J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Núñez</w:t>
            </w:r>
            <w:proofErr w:type="spellEnd"/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Functional expression of the intracellular pattern recognition receptor NOD1 in human keratinocytes</w:t>
            </w:r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J. Invest. </w:t>
            </w:r>
            <w:proofErr w:type="spellStart"/>
            <w:proofErr w:type="gramStart"/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Dermatol</w:t>
            </w:r>
            <w:proofErr w:type="spellEnd"/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proofErr w:type="gramEnd"/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2009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Vol. </w:t>
            </w:r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129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no. </w:t>
            </w:r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pp. </w:t>
            </w:r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1299-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302.</w:t>
            </w:r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D8075C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D8075C" w:rsidRDefault="00D8075C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10.1038/jid.2008.395</w:t>
            </w:r>
          </w:p>
        </w:tc>
      </w:tr>
      <w:tr w:rsidR="00C24365" w:rsidRPr="00E506D5" w:rsidTr="00280714">
        <w:trPr>
          <w:tblCellSpacing w:w="0" w:type="dxa"/>
        </w:trPr>
        <w:tc>
          <w:tcPr>
            <w:tcW w:w="1508" w:type="dxa"/>
          </w:tcPr>
          <w:p w:rsidR="00C24365" w:rsidRPr="007404BB" w:rsidRDefault="00C24365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C24365" w:rsidRPr="00E506D5" w:rsidRDefault="00C2436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Hertz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n E., Johansson L.,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Wallin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Schmidt 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Kroll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Rehn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Kotb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Mörgelin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Norrby-Teglund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A. M1-protein dependent intracellular trafficking 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lastRenderedPageBreak/>
              <w:t>promotes persistence and replication of Streptococcus pyogenes in macrophages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. 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J. Innate Immun.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2010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Vol. 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 pp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 534-545.</w:t>
            </w:r>
          </w:p>
        </w:tc>
        <w:tc>
          <w:tcPr>
            <w:tcW w:w="4961" w:type="dxa"/>
          </w:tcPr>
          <w:p w:rsidR="00C24365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–</w:t>
            </w:r>
          </w:p>
        </w:tc>
        <w:tc>
          <w:tcPr>
            <w:tcW w:w="3266" w:type="dxa"/>
          </w:tcPr>
          <w:p w:rsidR="00C24365" w:rsidRPr="00E506D5" w:rsidRDefault="00C2436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24365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C24365">
              <w:rPr>
                <w:rFonts w:ascii="Times New Roman" w:hAnsi="Times New Roman" w:cs="Times New Roman"/>
                <w:sz w:val="28"/>
                <w:szCs w:val="28"/>
              </w:rPr>
              <w:t>: 10.1159/000317635</w:t>
            </w:r>
          </w:p>
        </w:tc>
      </w:tr>
      <w:tr w:rsidR="002A6F42" w:rsidRPr="00E506D5" w:rsidTr="00280714">
        <w:trPr>
          <w:tblCellSpacing w:w="0" w:type="dxa"/>
        </w:trPr>
        <w:tc>
          <w:tcPr>
            <w:tcW w:w="1508" w:type="dxa"/>
          </w:tcPr>
          <w:p w:rsidR="002A6F42" w:rsidRPr="007404BB" w:rsidRDefault="002A6F42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2A6F42" w:rsidRPr="00C24365" w:rsidRDefault="002A6F42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Hruz</w:t>
            </w:r>
            <w:proofErr w:type="spellEnd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Zinkernagel</w:t>
            </w:r>
            <w:proofErr w:type="spellEnd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Jenikova</w:t>
            </w:r>
            <w:proofErr w:type="spellEnd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G.</w:t>
            </w:r>
            <w:r w:rsidRPr="002A6F42">
              <w:rPr>
                <w:lang w:val="en-US"/>
              </w:rPr>
              <w:t xml:space="preserve"> </w:t>
            </w:r>
            <w:proofErr w:type="spellStart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Botwin</w:t>
            </w:r>
            <w:proofErr w:type="spellEnd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Hugot</w:t>
            </w:r>
            <w:proofErr w:type="spellEnd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J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Karin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Nizet</w:t>
            </w:r>
            <w:proofErr w:type="spellEnd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Eckmann</w:t>
            </w:r>
            <w:proofErr w:type="spellEnd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L.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NOD2 contributes to cutaneous defense against Staphylococcus aureus through alpha-toxin-dependent innate immune activation. </w:t>
            </w:r>
            <w:r w:rsidRPr="002A6F4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Proc. Natl. Acad. Sci. U</w:t>
            </w:r>
            <w:r w:rsid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A6F4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</w:t>
            </w:r>
            <w:r w:rsid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A6F4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A, 2009, Vol. 106, no. 31, pp. 12873-12878.</w:t>
            </w:r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2A6F42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2A6F42" w:rsidRPr="002A6F42" w:rsidRDefault="002A6F42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</w:t>
            </w:r>
            <w:proofErr w:type="spellEnd"/>
            <w:r w:rsidRPr="002A6F4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: 10.1073/pnas.0904958106</w:t>
            </w:r>
          </w:p>
        </w:tc>
      </w:tr>
      <w:tr w:rsidR="00280714" w:rsidRPr="00280714" w:rsidTr="00280714">
        <w:trPr>
          <w:tblCellSpacing w:w="0" w:type="dxa"/>
        </w:trPr>
        <w:tc>
          <w:tcPr>
            <w:tcW w:w="1508" w:type="dxa"/>
          </w:tcPr>
          <w:p w:rsidR="00280714" w:rsidRPr="007404BB" w:rsidRDefault="00280714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280714" w:rsidRPr="002A6F42" w:rsidRDefault="00280714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Kalyuzhin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O.V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Fuks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B.B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Effect of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hydrolipophilic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equilibrium of the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muramyl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dipeptide derivatives on their internalization and interactions in biological membranes. 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Bulletin of Experimental Biology and Medicine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1996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 Vol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 122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 no.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12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 pp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 1219-1221.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280714" w:rsidRPr="0066210F" w:rsidRDefault="00280714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280714" w:rsidRPr="002A6F42" w:rsidRDefault="00280714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: 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10.1007/BF02445199</w:t>
            </w:r>
          </w:p>
        </w:tc>
      </w:tr>
      <w:tr w:rsidR="00C94423" w:rsidRPr="00E506D5" w:rsidTr="00280714">
        <w:trPr>
          <w:tblCellSpacing w:w="0" w:type="dxa"/>
        </w:trPr>
        <w:tc>
          <w:tcPr>
            <w:tcW w:w="1508" w:type="dxa"/>
          </w:tcPr>
          <w:p w:rsidR="00C94423" w:rsidRPr="007404BB" w:rsidRDefault="00C94423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C94423" w:rsidRPr="00C24365" w:rsidRDefault="00C94423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Kobayashi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Yoshiki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R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Sakabe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J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Kabashima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K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Nakamura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Tokura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Y. Expression of toll-like receptor 2, NOD2 and dectin-1 and stimulatory effects of their ligands and histamine in normal human keratinocytes. </w:t>
            </w:r>
            <w:r w:rsidRPr="00C9442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Br. J. </w:t>
            </w:r>
            <w:proofErr w:type="spellStart"/>
            <w:r w:rsidRPr="00C9442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Dermatol</w:t>
            </w:r>
            <w:proofErr w:type="spellEnd"/>
            <w:r w:rsidRPr="00C9442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., 2009, Vol. 160, no. 2, pp. 297-304.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C94423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C94423" w:rsidRPr="00C94423" w:rsidRDefault="00C94423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: 10.1111/j.1365-2133.2008.08897.x</w:t>
            </w:r>
          </w:p>
        </w:tc>
      </w:tr>
      <w:tr w:rsidR="006A38FE" w:rsidRPr="00E506D5" w:rsidTr="00280714">
        <w:trPr>
          <w:tblCellSpacing w:w="0" w:type="dxa"/>
        </w:trPr>
        <w:tc>
          <w:tcPr>
            <w:tcW w:w="1508" w:type="dxa"/>
          </w:tcPr>
          <w:p w:rsidR="006A38FE" w:rsidRPr="00C94423" w:rsidRDefault="006A38FE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6A38FE" w:rsidRPr="00C24365" w:rsidRDefault="006A38FE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A38F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Kim </w:t>
            </w:r>
            <w:proofErr w:type="spellStart"/>
            <w:r w:rsidRPr="006A38F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6A38F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6A38F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Shin </w:t>
            </w:r>
            <w:proofErr w:type="spellStart"/>
            <w:r w:rsidRPr="006A38F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6A38F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6A38F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A38F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Nahm</w:t>
            </w:r>
            <w:proofErr w:type="spellEnd"/>
            <w:r w:rsidRPr="006A38F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8F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6A38F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</w:t>
            </w:r>
            <w:proofErr w:type="spellEnd"/>
            <w:r w:rsidRPr="006A38F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. NOD-Like Receptors in Infection, Immunity, and Diseases. </w:t>
            </w:r>
            <w:proofErr w:type="spellStart"/>
            <w:r w:rsidRPr="006A38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Yonsei</w:t>
            </w:r>
            <w:proofErr w:type="spellEnd"/>
            <w:r w:rsidRPr="006A38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Med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6A38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J.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r w:rsidRPr="006A38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2015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Vol. </w:t>
            </w:r>
            <w:r w:rsidRPr="006A38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57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no. </w:t>
            </w:r>
            <w:r w:rsidRPr="006A38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pp. </w:t>
            </w:r>
            <w:r w:rsidRPr="006A38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5–14.</w:t>
            </w:r>
            <w:r w:rsidRPr="006A38F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6A38FE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6A38FE" w:rsidRPr="006A38FE" w:rsidRDefault="006A38FE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doi:10.3349/ymj.2016.57.1.5</w:t>
            </w:r>
          </w:p>
        </w:tc>
      </w:tr>
      <w:tr w:rsidR="00280714" w:rsidRPr="00280714" w:rsidTr="00280714">
        <w:trPr>
          <w:tblCellSpacing w:w="0" w:type="dxa"/>
        </w:trPr>
        <w:tc>
          <w:tcPr>
            <w:tcW w:w="1508" w:type="dxa"/>
          </w:tcPr>
          <w:p w:rsidR="00280714" w:rsidRPr="00C94423" w:rsidRDefault="00280714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280714" w:rsidRPr="006A38FE" w:rsidRDefault="00280714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Kleinnijenhuis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J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Quintin J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Preijers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Joosten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L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Ifrim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Saeed S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Jacobs C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van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Loenhout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J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de Jong D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Stunnenberg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.,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Xavier R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van der Meer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W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van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Crevel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R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Netea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Bacille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Calmette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-Guerin induces NOD2-dependent nonspecific protection from reinfection via epigenetic reprogramming of monocytes. 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Proc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Natl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Acad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Sci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U S A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2012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Vol. 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109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  pp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 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17537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-</w:t>
            </w:r>
            <w:r w:rsidRPr="002807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17542.</w:t>
            </w:r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280714" w:rsidRPr="0066210F" w:rsidRDefault="00280714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280714" w:rsidRPr="006A38FE" w:rsidRDefault="00280714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</w:t>
            </w:r>
            <w:proofErr w:type="spellEnd"/>
            <w:r w:rsidRPr="002807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: 10.1073/pnas.1202870109</w:t>
            </w:r>
          </w:p>
        </w:tc>
      </w:tr>
      <w:tr w:rsidR="00C94423" w:rsidRPr="00E506D5" w:rsidTr="00280714">
        <w:trPr>
          <w:tblCellSpacing w:w="0" w:type="dxa"/>
        </w:trPr>
        <w:tc>
          <w:tcPr>
            <w:tcW w:w="1508" w:type="dxa"/>
          </w:tcPr>
          <w:p w:rsidR="00C94423" w:rsidRPr="00C94423" w:rsidRDefault="00C94423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C94423" w:rsidRPr="006A38FE" w:rsidRDefault="00C94423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Masumoto J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Yang K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Varambally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S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Hasegawa M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Tomlins S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Qiu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S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Fujimoto Y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Kawasaki A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Foster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</w:t>
            </w:r>
            <w:proofErr w:type="spellEnd"/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Horie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Y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Mak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W</w:t>
            </w:r>
            <w:proofErr w:type="spellEnd"/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Núñez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G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Chinnaiyan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A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Fukase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K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Inohara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N.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Nod1 acts as an intracellular receptor to stimulate chemokine production and neutrophil recruitment in vivo. 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J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Exp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Med.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2006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Vol. 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203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no. 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pp. 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203-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13.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C94423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C94423" w:rsidRPr="006A38FE" w:rsidRDefault="00EC1984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: 10.1084/jem.20051229</w:t>
            </w:r>
          </w:p>
        </w:tc>
      </w:tr>
      <w:tr w:rsidR="00DA18CD" w:rsidRPr="00E506D5" w:rsidTr="00280714">
        <w:trPr>
          <w:tblCellSpacing w:w="0" w:type="dxa"/>
        </w:trPr>
        <w:tc>
          <w:tcPr>
            <w:tcW w:w="1508" w:type="dxa"/>
          </w:tcPr>
          <w:p w:rsidR="00DA18CD" w:rsidRPr="006A38FE" w:rsidRDefault="00DA18CD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DA18CD" w:rsidRPr="00C24365" w:rsidRDefault="00DA18CD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18C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Miller L.S., Cho J.S. Immunity against Staphylococcus aureus cutaneous infections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. </w:t>
            </w:r>
            <w:r w:rsidRPr="00DA18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Nature Reviews Immunology, </w:t>
            </w:r>
            <w:r w:rsidRPr="00DA18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lastRenderedPageBreak/>
              <w:t>2011, Vol. 11, no. 8, pp. 505-518.</w:t>
            </w:r>
            <w:r w:rsidRPr="00DA18C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DA18CD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–</w:t>
            </w:r>
          </w:p>
        </w:tc>
        <w:tc>
          <w:tcPr>
            <w:tcW w:w="3266" w:type="dxa"/>
          </w:tcPr>
          <w:p w:rsidR="00DA18CD" w:rsidRPr="00DA18CD" w:rsidRDefault="00DA18CD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18C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doi:10.1038/nri3010</w:t>
            </w:r>
          </w:p>
        </w:tc>
      </w:tr>
      <w:tr w:rsidR="006A38FE" w:rsidRPr="00E506D5" w:rsidTr="00280714">
        <w:trPr>
          <w:tblCellSpacing w:w="0" w:type="dxa"/>
        </w:trPr>
        <w:tc>
          <w:tcPr>
            <w:tcW w:w="1508" w:type="dxa"/>
          </w:tcPr>
          <w:p w:rsidR="006A38FE" w:rsidRPr="006A38FE" w:rsidRDefault="006A38FE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6A38FE" w:rsidRPr="00DA18CD" w:rsidRDefault="00862F02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Mukherjee T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Hovingh</w:t>
            </w:r>
            <w:proofErr w:type="spellEnd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Foerster</w:t>
            </w:r>
            <w:proofErr w:type="spellEnd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E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Abdel-</w:t>
            </w:r>
            <w:proofErr w:type="spellStart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Nour</w:t>
            </w:r>
            <w:proofErr w:type="spellEnd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M</w:t>
            </w:r>
            <w:r w:rsidR="00AB18B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Philpott </w:t>
            </w:r>
            <w:proofErr w:type="spellStart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</w:t>
            </w:r>
            <w:r w:rsidR="00AB18B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</w:t>
            </w:r>
            <w:proofErr w:type="spellEnd"/>
            <w:r w:rsidR="00AB18B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Girardin</w:t>
            </w:r>
            <w:proofErr w:type="spellEnd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S</w:t>
            </w:r>
            <w:r w:rsidR="00AB18B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E. NOD1 and NOD2 in inflammation, immunity and disease. </w:t>
            </w:r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Arch</w:t>
            </w:r>
            <w:r w:rsidR="00AB18BA"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Biochem</w:t>
            </w:r>
            <w:proofErr w:type="spellEnd"/>
            <w:r w:rsidR="00AB18BA"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Biophys</w:t>
            </w:r>
            <w:proofErr w:type="spellEnd"/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proofErr w:type="gramEnd"/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2018</w:t>
            </w:r>
            <w:r w:rsid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pii</w:t>
            </w:r>
            <w:proofErr w:type="spellEnd"/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: S0003-9861(18)30937-8.</w:t>
            </w:r>
            <w:r w:rsidRPr="00AB18B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6A38FE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6A38FE" w:rsidRPr="004C264D" w:rsidRDefault="004C264D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: 10.1016/j.abb.2018.12.022</w:t>
            </w:r>
            <w:bookmarkStart w:id="0" w:name="_GoBack"/>
            <w:bookmarkEnd w:id="0"/>
          </w:p>
        </w:tc>
      </w:tr>
      <w:tr w:rsidR="00AD6F16" w:rsidRPr="00E506D5" w:rsidTr="00280714">
        <w:trPr>
          <w:tblCellSpacing w:w="0" w:type="dxa"/>
        </w:trPr>
        <w:tc>
          <w:tcPr>
            <w:tcW w:w="1508" w:type="dxa"/>
          </w:tcPr>
          <w:p w:rsidR="00AD6F16" w:rsidRPr="00E506D5" w:rsidRDefault="00AD6F16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AD6F16" w:rsidRPr="00E506D5" w:rsidRDefault="00E506D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Nizet</w:t>
            </w:r>
            <w:proofErr w:type="spellEnd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 Bacteria and phagocytes: mortal enemies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E506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Innate Immun.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E506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E506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Vol. 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no. </w:t>
            </w:r>
            <w:r w:rsidRPr="00E506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pp</w:t>
            </w:r>
            <w:r w:rsidRPr="00E506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505-507. </w:t>
            </w:r>
          </w:p>
        </w:tc>
        <w:tc>
          <w:tcPr>
            <w:tcW w:w="4961" w:type="dxa"/>
          </w:tcPr>
          <w:p w:rsidR="00AD6F16" w:rsidRPr="00E506D5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AD6F16" w:rsidRPr="00E506D5" w:rsidRDefault="00E506D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10.1159/000320473</w:t>
            </w:r>
          </w:p>
        </w:tc>
      </w:tr>
      <w:tr w:rsidR="00B2533A" w:rsidRPr="00E506D5" w:rsidTr="00280714">
        <w:trPr>
          <w:tblCellSpacing w:w="0" w:type="dxa"/>
        </w:trPr>
        <w:tc>
          <w:tcPr>
            <w:tcW w:w="1508" w:type="dxa"/>
          </w:tcPr>
          <w:p w:rsidR="00B2533A" w:rsidRPr="00E506D5" w:rsidRDefault="00B2533A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B2533A" w:rsidRPr="00E506D5" w:rsidRDefault="00B2533A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Pashenkov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Dagil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Pinegin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NOD1 and NOD2: Molecular targets in prevention and treatment of infectious diseases. 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Int.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Immunopharmacol</w:t>
            </w:r>
            <w:proofErr w:type="spellEnd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Vol. 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pp. 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385-400.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B2533A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B2533A" w:rsidRPr="00E506D5" w:rsidRDefault="00B2533A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10.1016/j.intimp.2017.11.036</w:t>
            </w:r>
          </w:p>
        </w:tc>
      </w:tr>
      <w:tr w:rsidR="004500F5" w:rsidRPr="00E506D5" w:rsidTr="00280714">
        <w:trPr>
          <w:tblCellSpacing w:w="0" w:type="dxa"/>
        </w:trPr>
        <w:tc>
          <w:tcPr>
            <w:tcW w:w="1508" w:type="dxa"/>
          </w:tcPr>
          <w:p w:rsidR="004500F5" w:rsidRPr="00E506D5" w:rsidRDefault="004500F5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4500F5" w:rsidRPr="00B2533A" w:rsidRDefault="004500F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Roth 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Simanski</w:t>
            </w:r>
            <w:proofErr w:type="spellEnd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Rademacher</w:t>
            </w:r>
            <w:proofErr w:type="spellEnd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Schröder</w:t>
            </w:r>
            <w:proofErr w:type="spellEnd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Harder J. The pattern recognition receptor NOD2 mediates Staphylococcus aureus-induced IL-17C expression in keratinocytes. J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Invest. </w:t>
            </w:r>
            <w:proofErr w:type="spellStart"/>
            <w:proofErr w:type="gramStart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Dermatol</w:t>
            </w:r>
            <w:proofErr w:type="spellEnd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374-380. </w:t>
            </w:r>
          </w:p>
        </w:tc>
        <w:tc>
          <w:tcPr>
            <w:tcW w:w="4961" w:type="dxa"/>
          </w:tcPr>
          <w:p w:rsidR="004500F5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4500F5" w:rsidRPr="00B2533A" w:rsidRDefault="004500F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10.1038/jid.2013.313</w:t>
            </w:r>
          </w:p>
        </w:tc>
      </w:tr>
      <w:tr w:rsidR="00AD6F16" w:rsidRPr="00E506D5" w:rsidTr="00280714">
        <w:trPr>
          <w:tblCellSpacing w:w="0" w:type="dxa"/>
        </w:trPr>
        <w:tc>
          <w:tcPr>
            <w:tcW w:w="1508" w:type="dxa"/>
          </w:tcPr>
          <w:p w:rsidR="00AD6F16" w:rsidRPr="00E506D5" w:rsidRDefault="00AD6F16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AD6F16" w:rsidRPr="00E506D5" w:rsidRDefault="008636D2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Smagur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J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Guzik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K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Magiera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L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Bzowska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Gruca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Thogersen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Enghild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Potempa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J.  </w:t>
            </w:r>
            <w:proofErr w:type="gram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  new</w:t>
            </w:r>
            <w:proofErr w:type="gram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 pathway  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lastRenderedPageBreak/>
              <w:t xml:space="preserve">of  staphylococcal  pathogenesis: Apoptosis-like death induced by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staphopain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B in human neutrophils and monocytes. </w:t>
            </w:r>
            <w:r w:rsidRPr="008636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Innate Immun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.,</w:t>
            </w:r>
            <w:r w:rsidRPr="008636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2009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Vol. </w:t>
            </w:r>
            <w:r w:rsidRPr="008636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 pp.</w:t>
            </w:r>
            <w:r w:rsidRPr="008636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98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-</w:t>
            </w:r>
            <w:r w:rsidRPr="008636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108.</w:t>
            </w:r>
          </w:p>
        </w:tc>
        <w:tc>
          <w:tcPr>
            <w:tcW w:w="4961" w:type="dxa"/>
          </w:tcPr>
          <w:p w:rsidR="00AD6F16" w:rsidRPr="00E506D5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–</w:t>
            </w:r>
          </w:p>
        </w:tc>
        <w:tc>
          <w:tcPr>
            <w:tcW w:w="3266" w:type="dxa"/>
          </w:tcPr>
          <w:p w:rsidR="00AD6F16" w:rsidRPr="00E506D5" w:rsidRDefault="008636D2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636D2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8636D2">
              <w:rPr>
                <w:rFonts w:ascii="Times New Roman" w:hAnsi="Times New Roman" w:cs="Times New Roman"/>
                <w:sz w:val="28"/>
                <w:szCs w:val="28"/>
              </w:rPr>
              <w:t>: 10.1159/000181014</w:t>
            </w:r>
          </w:p>
        </w:tc>
      </w:tr>
      <w:tr w:rsidR="00AD6F16" w:rsidRPr="00E506D5" w:rsidTr="00280714">
        <w:trPr>
          <w:tblCellSpacing w:w="0" w:type="dxa"/>
        </w:trPr>
        <w:tc>
          <w:tcPr>
            <w:tcW w:w="1508" w:type="dxa"/>
          </w:tcPr>
          <w:p w:rsidR="00AD6F16" w:rsidRPr="00E506D5" w:rsidRDefault="00AD6F16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AD6F16" w:rsidRPr="00E506D5" w:rsidRDefault="00C2436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Van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Avondt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K., van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Sorge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N.M.,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Meyaard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L. Bacterial Immune Evasion through Manipulation of Host Inhibitory Immune Signaling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PLoS</w:t>
            </w:r>
            <w:proofErr w:type="spellEnd"/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Pathogens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2015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Vol. 11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no. 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e1004644</w:t>
            </w:r>
            <w:r w:rsid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4961" w:type="dxa"/>
          </w:tcPr>
          <w:p w:rsidR="00AD6F16" w:rsidRPr="00E506D5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AD6F16" w:rsidRPr="00E506D5" w:rsidRDefault="007A0706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C24365" w:rsidRPr="00C243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10.1371/journal.ppat.1004644</w:t>
            </w:r>
          </w:p>
        </w:tc>
      </w:tr>
    </w:tbl>
    <w:p w:rsidR="00DF7B2E" w:rsidRPr="00E506D5" w:rsidRDefault="004C264D">
      <w:pPr>
        <w:rPr>
          <w:lang w:val="en-US"/>
        </w:rPr>
      </w:pPr>
    </w:p>
    <w:sectPr w:rsidR="00DF7B2E" w:rsidRPr="00E506D5" w:rsidSect="00AD6F1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F0CC8"/>
    <w:multiLevelType w:val="hybridMultilevel"/>
    <w:tmpl w:val="27A2DAB8"/>
    <w:lvl w:ilvl="0" w:tplc="16D2C3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16"/>
    <w:rsid w:val="000217C6"/>
    <w:rsid w:val="00096C86"/>
    <w:rsid w:val="000B1C4F"/>
    <w:rsid w:val="000B5666"/>
    <w:rsid w:val="000E36E6"/>
    <w:rsid w:val="001A6D01"/>
    <w:rsid w:val="00280714"/>
    <w:rsid w:val="002A6F42"/>
    <w:rsid w:val="003E2A27"/>
    <w:rsid w:val="004500F5"/>
    <w:rsid w:val="00483E78"/>
    <w:rsid w:val="004C264D"/>
    <w:rsid w:val="004F47FB"/>
    <w:rsid w:val="00624B30"/>
    <w:rsid w:val="00650BAE"/>
    <w:rsid w:val="0066210F"/>
    <w:rsid w:val="006A38FE"/>
    <w:rsid w:val="007118EA"/>
    <w:rsid w:val="007404BB"/>
    <w:rsid w:val="007A0706"/>
    <w:rsid w:val="00854F6C"/>
    <w:rsid w:val="00862F02"/>
    <w:rsid w:val="008636D2"/>
    <w:rsid w:val="00893B0C"/>
    <w:rsid w:val="00A33ACD"/>
    <w:rsid w:val="00AB18BA"/>
    <w:rsid w:val="00AD6F16"/>
    <w:rsid w:val="00B2533A"/>
    <w:rsid w:val="00B953A7"/>
    <w:rsid w:val="00C24365"/>
    <w:rsid w:val="00C26D1E"/>
    <w:rsid w:val="00C44163"/>
    <w:rsid w:val="00C94423"/>
    <w:rsid w:val="00D8075C"/>
    <w:rsid w:val="00DA18CD"/>
    <w:rsid w:val="00E506D5"/>
    <w:rsid w:val="00EC1984"/>
    <w:rsid w:val="00FB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F1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6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F1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8</cp:revision>
  <dcterms:created xsi:type="dcterms:W3CDTF">2019-03-31T08:57:00Z</dcterms:created>
  <dcterms:modified xsi:type="dcterms:W3CDTF">2019-04-01T14:15:00Z</dcterms:modified>
</cp:coreProperties>
</file>