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1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103"/>
        <w:gridCol w:w="3604"/>
      </w:tblGrid>
      <w:tr w:rsidR="009411FD" w:rsidRPr="00095A69" w:rsidTr="000A4B62">
        <w:trPr>
          <w:trHeight w:val="562"/>
        </w:trPr>
        <w:tc>
          <w:tcPr>
            <w:tcW w:w="704" w:type="dxa"/>
          </w:tcPr>
          <w:p w:rsidR="009411FD" w:rsidRPr="00095A69" w:rsidRDefault="009411FD" w:rsidP="00941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9411FD" w:rsidRPr="00095A69" w:rsidRDefault="009411FD" w:rsidP="00941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103" w:type="dxa"/>
          </w:tcPr>
          <w:p w:rsidR="009411FD" w:rsidRPr="00095A69" w:rsidRDefault="009411FD" w:rsidP="00941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3604" w:type="dxa"/>
          </w:tcPr>
          <w:p w:rsidR="009411FD" w:rsidRPr="00095A69" w:rsidRDefault="009411FD" w:rsidP="00941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095A69">
              <w:rPr>
                <w:rFonts w:ascii="Times New Roman" w:hAnsi="Times New Roman" w:cs="Times New Roman"/>
                <w:bCs/>
                <w:sz w:val="28"/>
                <w:szCs w:val="28"/>
              </w:rPr>
              <w:t>doi</w:t>
            </w:r>
            <w:proofErr w:type="spellEnd"/>
            <w:r w:rsidRPr="00095A6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Ведищев С.И., Прокопов А.Ю.,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Жабина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У.В., Османов Э.М. Современные представления о причинах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невынашивания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беременности // Вестник ТГУ, 2013.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4D68">
              <w:rPr>
                <w:rFonts w:ascii="Times New Roman" w:hAnsi="Times New Roman" w:cs="Times New Roman"/>
                <w:sz w:val="28"/>
                <w:szCs w:val="28"/>
              </w:rPr>
              <w:t xml:space="preserve">. 18, № 4.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4D68">
              <w:rPr>
                <w:rFonts w:ascii="Times New Roman" w:hAnsi="Times New Roman" w:cs="Times New Roman"/>
                <w:sz w:val="28"/>
                <w:szCs w:val="28"/>
              </w:rPr>
              <w:t>. 1309-1312.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Vedischev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S.I.,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Prokopov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Zhabina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U.V.,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Osmanov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E.M. Modern ideas about the causes of miscarriage. Bulletin of the TSU, 2013, Vol. 18, no. 4, pp. 1309-1312. (In Russ.)</w:t>
            </w:r>
          </w:p>
        </w:tc>
        <w:tc>
          <w:tcPr>
            <w:tcW w:w="3604" w:type="dxa"/>
          </w:tcPr>
          <w:p w:rsidR="00CB3187" w:rsidRPr="00095A69" w:rsidRDefault="000A4B62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https://elibrary.ru/item.asp?id=19058842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И.А., Чистякова Г.Н., Ремизова И.И. Роль нарушений продукции цитокинов в генезе плацентарной недостаточности и ранних репродуктивных потерь // Медицинская иммунология, 2014.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. 16, № 6.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. 539-550.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Gazieva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I.A.,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Chistyakova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G.N.,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Remizova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I.I. The role of cytokine production disorders in the genesis of placental insufficiency and early reproductive losses. Medical immunology, 2014, Vol. 16, no. 6, pp. 539-550. (In Russ.)</w:t>
            </w:r>
          </w:p>
        </w:tc>
        <w:tc>
          <w:tcPr>
            <w:tcW w:w="3604" w:type="dxa"/>
          </w:tcPr>
          <w:p w:rsidR="00CB3187" w:rsidRPr="00095A69" w:rsidRDefault="000A4B62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https://cyberleninka.ru/article/n/rol-narusheniy-produktsii-tsitokinov-v-geneze-platsentarnoy-nedostatochnosti-i-rannih-reproduktivnyh-poter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Гордеева Л.А.,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Оскорбина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О.С., Воронина Е.Н., Соколова Е.А., Шаталина И.В., Оленникова Р.В., Нерсесян С.Л., Филипенко М.Л., Глушков А.Н. Ассоциации полиморфизма генов цитокинов с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невынашиванием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беременности // Медицинская иммунология, 2017.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Т. 19, № 5. – С. 585-596.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Gordeeva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Oskorbina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O.S.,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Voronina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E.N.,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Shatalina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Olennikova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R.V.,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Nersesyan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S.L.,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Filipenko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M.L.,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Glushkov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 Associations of cytokine gene polymorphism with miscarriage. Medical immunology, 2017, Vol. 19, no. 5, pp. 585-596. (In Russ.)</w:t>
            </w:r>
          </w:p>
        </w:tc>
        <w:tc>
          <w:tcPr>
            <w:tcW w:w="3604" w:type="dxa"/>
          </w:tcPr>
          <w:p w:rsidR="00CB3187" w:rsidRPr="00095A69" w:rsidRDefault="000A4B62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https://cyberleninka.ru/article/n/assotsiatsii-polimorfizma-genov-tsitokinov-s-nevynashivaniem-beremennosti</w:t>
            </w:r>
          </w:p>
        </w:tc>
      </w:tr>
      <w:tr w:rsidR="00CB3187" w:rsidRPr="000A4B62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Каштальян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Пристром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.С. Оценка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цитокинового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профиля у беременных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 // Цитокины и воспаление, 2008.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. 7, № 4.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С. 33-36.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Kashtalyan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Pristrom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Evaluation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pregnant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women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Cytokines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inflammation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, 2008,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.7, № 4,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pp. 33-36. (In Russ.)</w:t>
            </w:r>
          </w:p>
        </w:tc>
        <w:tc>
          <w:tcPr>
            <w:tcW w:w="3604" w:type="dxa"/>
          </w:tcPr>
          <w:p w:rsidR="00CB3187" w:rsidRPr="00095A69" w:rsidRDefault="000A4B62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https://clck.ru/FM7wf</w:t>
            </w:r>
          </w:p>
        </w:tc>
      </w:tr>
      <w:tr w:rsidR="00CB3187" w:rsidRPr="00FD3FEE" w:rsidTr="000A4B62">
        <w:tc>
          <w:tcPr>
            <w:tcW w:w="704" w:type="dxa"/>
          </w:tcPr>
          <w:p w:rsidR="00CB3187" w:rsidRPr="000A4B62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0D6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Лаптина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Т.А. Иммуногенетика и репродукция человека. - Ростов-на-Дону, 2013. - 79 с.</w:t>
            </w:r>
          </w:p>
        </w:tc>
        <w:tc>
          <w:tcPr>
            <w:tcW w:w="5103" w:type="dxa"/>
          </w:tcPr>
          <w:p w:rsidR="00CB3187" w:rsidRPr="00474D68" w:rsidRDefault="00CB3187" w:rsidP="000D63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Laptina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T.A.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Immunogenetics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human reproduction</w:t>
            </w:r>
            <w:r w:rsidR="000D6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Rostov-</w:t>
            </w:r>
            <w:proofErr w:type="gramStart"/>
            <w:r w:rsidR="000D6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proofErr w:type="gramEnd"/>
            <w:r w:rsidR="000D6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-Don,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2013, 79 p. (In Russ.)</w:t>
            </w:r>
          </w:p>
        </w:tc>
        <w:tc>
          <w:tcPr>
            <w:tcW w:w="3604" w:type="dxa"/>
          </w:tcPr>
          <w:p w:rsidR="00CB3187" w:rsidRPr="00095A69" w:rsidRDefault="000D6336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https://treegene.kz/wp-content/uploads/2016/07/immunogenetika-i-reproduktciia-cheloveka.pdf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474D68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Лигидова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А.Т.,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Друккер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Крымшокалова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З.С. Роль нарушенной продукции цитокинов в патогенезе угрозы прерывания беременности в I триместре // Известия вузов. </w:t>
            </w:r>
            <w:proofErr w:type="spellStart"/>
            <w:proofErr w:type="gram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кавказский</w:t>
            </w:r>
            <w:proofErr w:type="gram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Естественные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науки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2011. </w:t>
            </w:r>
            <w:r w:rsidR="000D6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4. </w:t>
            </w:r>
            <w:r w:rsidR="000D6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212-215.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Ligidova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A.T.,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Drukker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Krymshokalova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Z.S. The role of impaired cytokine production in the pathogenesis of threatened abortion in the first trimester. News of universities. North Caucasus region. Natural Sciences, 2011, no. 4, pp. 212-215.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604" w:type="dxa"/>
          </w:tcPr>
          <w:p w:rsidR="00CB3187" w:rsidRPr="00095A69" w:rsidRDefault="000D6336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https://cyberleninka.ru/article/n/rol-narushennoy-produktsii-tsitokinov-v-patogeneze-ugrozy-preryvaniya-beremennosti-v-i-trimestre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Машкина Е.В., К. А. Коваленко, Н.В. Фомина,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Шкурат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Т. П. Исследование ассоциации полиморфных вариантов генов цитокинов с ранними эмбриональными потерями // Экологическая генетика человека, 2014.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. 12, № 1.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. 19-27.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Mashkina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Kovalenko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Fomina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Shkurat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TP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association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polymorphic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variants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early embryonic losses. Ecological human genetics, 2014, Vol. 12, no. 1, pp. 19-27. (In Russ.)</w:t>
            </w:r>
          </w:p>
        </w:tc>
        <w:tc>
          <w:tcPr>
            <w:tcW w:w="3604" w:type="dxa"/>
          </w:tcPr>
          <w:p w:rsidR="00CB3187" w:rsidRPr="00095A69" w:rsidRDefault="000D6336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https://cyberleninka.ru/article/n/issledovanie-assotsiatsii-polimorfnyh-variantov-genov-tsitokinov-s-rannimi-embrionalnymi-poteryami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Павлова А.А., Павлова И.Е.,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Бессмельцев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С.С. Цитокины и их роль в патогенезе множественной миеломы // Гематология, 2013.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Т. 14.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С. 313-335.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Pavlova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Bessmeltsev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their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pathogenesis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multiple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myeloma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Hematology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013, Vol. 14, pp. 313-335. (In Russ.)</w:t>
            </w:r>
          </w:p>
        </w:tc>
        <w:tc>
          <w:tcPr>
            <w:tcW w:w="3604" w:type="dxa"/>
          </w:tcPr>
          <w:p w:rsidR="00CB3187" w:rsidRPr="00095A69" w:rsidRDefault="000D6336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http://www.medline.ru/public/pdf/14_029.pdf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Сахаутдинова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И.В., Ложкина Л.Р. Иммуномодулирующая роль прогестерона в терапии угрозы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прерывания беременности // Медицинский вестник Башкортостана, 2014.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. 9, № 4.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. 96-99.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Sakhautdinova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Lozhkina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Immunomodulatory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progesterone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treatment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threatened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abortion</w:t>
            </w:r>
            <w:r w:rsidRPr="00FD3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Medical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Bulletin of Bashkortostan, 2014, Vol. 9, no. 4, pp. 96-99 (In Russ.)</w:t>
            </w:r>
          </w:p>
        </w:tc>
        <w:tc>
          <w:tcPr>
            <w:tcW w:w="3604" w:type="dxa"/>
          </w:tcPr>
          <w:p w:rsidR="00CB3187" w:rsidRPr="00095A69" w:rsidRDefault="009411FD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https://cyberleninka.ru/article/n/immunomoduliruyuschaya-rol-progesterona-v-terapii-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ugrozy-preryvaniya-beremennosti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Симбирцев А.С.  Интерлейкин-1: от эксперимента в клинику // </w:t>
            </w:r>
            <w:hyperlink r:id="rId5" w:history="1">
              <w:r w:rsidRPr="00CB3187">
                <w:rPr>
                  <w:rFonts w:ascii="Times New Roman" w:hAnsi="Times New Roman" w:cs="Times New Roman"/>
                  <w:sz w:val="28"/>
                  <w:szCs w:val="28"/>
                </w:rPr>
                <w:t>Медицинская иммунология</w:t>
              </w:r>
            </w:hyperlink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, 2001. </w:t>
            </w:r>
            <w:r w:rsidR="000D6336"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 xml:space="preserve">Т. 3, № 3. </w:t>
            </w:r>
            <w:r w:rsidR="000D6336" w:rsidRPr="009411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6336">
              <w:rPr>
                <w:rFonts w:ascii="Times New Roman" w:hAnsi="Times New Roman" w:cs="Times New Roman"/>
                <w:sz w:val="28"/>
                <w:szCs w:val="28"/>
              </w:rPr>
              <w:t>С. 431-433.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Simbirtsev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 Interleukin-1: from experiment to clinic. Medical immunology, 2001, Vol. 3, no. 3, pp. 431-433. (In Russ.)</w:t>
            </w:r>
          </w:p>
        </w:tc>
        <w:tc>
          <w:tcPr>
            <w:tcW w:w="3604" w:type="dxa"/>
          </w:tcPr>
          <w:p w:rsidR="00CB3187" w:rsidRPr="00095A69" w:rsidRDefault="009411FD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https://cyberleninka.ru/article/n/interleykin-1-ot-eksperimenta-v-kliniku</w:t>
            </w:r>
          </w:p>
        </w:tc>
      </w:tr>
      <w:tr w:rsidR="00CB3187" w:rsidRPr="000A4B62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Сташкевич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 Д.С. Актуальные вопросы иммунологии: система цитокинов, биологическое значение, генетический полиморфизм, методы определения. - Челябинск: Цицеро, 2016. - 82 с.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Stashkevich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D.S. Topical issues of immunology: cytokine system, biological significance, genetic polymorphism, methods of determination: Chelyabinsk: Cicero, 2016, 82 p. (In Russ.)</w:t>
            </w:r>
          </w:p>
        </w:tc>
        <w:tc>
          <w:tcPr>
            <w:tcW w:w="3604" w:type="dxa"/>
          </w:tcPr>
          <w:p w:rsidR="00CB3187" w:rsidRPr="00095A69" w:rsidRDefault="009411FD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https://is.gd/mVBvyb</w:t>
            </w:r>
          </w:p>
        </w:tc>
      </w:tr>
      <w:tr w:rsidR="00CB3187" w:rsidRPr="00FD3FEE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FD3FEE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Судуткина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Мосина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цитокинов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крови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беременных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триместра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явлениями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атопического</w:t>
            </w:r>
            <w:proofErr w:type="spellEnd"/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дерматита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Фундаментальные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, 2014.</w:t>
            </w:r>
            <w:r w:rsidR="009411FD"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№ 2. </w:t>
            </w:r>
            <w:r w:rsidR="009411FD"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 168-171.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Sudutkina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Matveeva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 Changes in the content of blood cytokines in pregnant women of the first trimester with symptoms of a limited form of atopic dermatitis. Basic research, 2014, no. 2, pp. 168-171. (In Russ.)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https://fundamental-research.ru/ru/article/view?id=33569</w:t>
            </w:r>
          </w:p>
        </w:tc>
      </w:tr>
      <w:tr w:rsidR="00CB3187" w:rsidRPr="00FD3FEE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9411FD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Шевцова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Еремина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FD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 пациенткам с угрозой прерывания беременности // Медицинский вестник Северного Кавказа, 2017. </w:t>
            </w:r>
            <w:r w:rsidR="009411FD" w:rsidRPr="009411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411FD">
              <w:rPr>
                <w:rFonts w:ascii="Times New Roman" w:hAnsi="Times New Roman" w:cs="Times New Roman"/>
                <w:sz w:val="28"/>
                <w:szCs w:val="28"/>
              </w:rPr>
              <w:t xml:space="preserve">. 12, № 4. – </w:t>
            </w:r>
            <w:r w:rsidRPr="00CB31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11FD">
              <w:rPr>
                <w:rFonts w:ascii="Times New Roman" w:hAnsi="Times New Roman" w:cs="Times New Roman"/>
                <w:sz w:val="28"/>
                <w:szCs w:val="28"/>
              </w:rPr>
              <w:t>. 411-413.</w:t>
            </w:r>
          </w:p>
        </w:tc>
        <w:tc>
          <w:tcPr>
            <w:tcW w:w="5103" w:type="dxa"/>
          </w:tcPr>
          <w:p w:rsidR="00CB3187" w:rsidRPr="00CB3187" w:rsidRDefault="00CB3187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Shevtsova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E.P.,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Eremina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D., </w:t>
            </w:r>
            <w:proofErr w:type="spellStart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Andreeva</w:t>
            </w:r>
            <w:proofErr w:type="spellEnd"/>
            <w:r w:rsidRPr="00CB31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M.V. Examination of the quality of care for patients with threatened abortion. Medical Bulletin of the North Caucasus, 2017, Vol. 12, no. 4, pp. 411-413. (In Russ.)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https://cyberleninka.ru/article/n/ekspertiza-kachestva-meditsinskoy-pomoschi-patsientkam-s-ugrozoy-preryvaniya-beremennosti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Ashkar</w:t>
            </w:r>
            <w:proofErr w:type="spellEnd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Croy</w:t>
            </w:r>
            <w:proofErr w:type="spellEnd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 Functions of uterine natural killer cells are mediated by interferon gamma production during murine </w:t>
            </w:r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pregnancy. </w:t>
            </w:r>
            <w:proofErr w:type="spellStart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7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2001, Vol. 13, pp. 235–241.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biomedsearch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uterine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natural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killer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/11437631.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095A69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474D68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Bahadori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Zarei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Zarnani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Zarei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Idali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Hadavi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Jeddi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-Tehrani M. IL-6, IL-10 and IL-17 gene polymorphisms in Iranian women with recurrent miscarriage. Iran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2014, Vol. 11, no. 2, pp. 97-104. 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IJIv11i2A4.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474D68" w:rsidRDefault="00474D68" w:rsidP="00474D68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Bombell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McGuire W. Cytokine polymorphisms in women with recurrent pregnancy loss: meta-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analisis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Aust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NZJ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Obstet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Gynaec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2008, Vol. 48, pp. 147–154.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/18366487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095A69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474D68" w:rsidRDefault="00474D68" w:rsidP="00474D68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Cai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Y., Li M.-J. Interleukin 23 regulates the functions of human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decidual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immune cells during early pregnancy. Biochemical and Biophysical Research Communications, 2016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Vol. 469, no. 3, pp. 340-344.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sciencedirect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article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0006291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15309876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095A69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B3187" w:rsidRPr="00474D68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Chen J.,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Zhong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Yu Y.H. Association between interleukin-4 polymorphisms and risk of pre-eclampsia in a population of Chinese pregnant women. Genet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Res, 2017, Vol. 16, no. 2. 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10.4238/gmr16029218.</w:t>
            </w:r>
          </w:p>
        </w:tc>
      </w:tr>
      <w:tr w:rsidR="00CB3187" w:rsidRPr="00CB3187" w:rsidTr="000A4B62">
        <w:tc>
          <w:tcPr>
            <w:tcW w:w="704" w:type="dxa"/>
          </w:tcPr>
          <w:p w:rsidR="00CB3187" w:rsidRPr="00CB3187" w:rsidRDefault="00CB3187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CB3187" w:rsidRPr="00474D68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Daher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Mattar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Gueuvoghlanian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-Silva B.Y.,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Torloni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M.R. Genetic polymorphisms and recurrent spontaneous abortions: an overview of current knowledge. Am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2012, Vol. 67, no. 4, pp. 341-347. </w:t>
            </w:r>
          </w:p>
        </w:tc>
        <w:tc>
          <w:tcPr>
            <w:tcW w:w="5103" w:type="dxa"/>
          </w:tcPr>
          <w:p w:rsidR="00CB3187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04" w:type="dxa"/>
          </w:tcPr>
          <w:p w:rsidR="00CB3187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10.1111/j.1600-0897.2012.01123.x.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Daher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Shulzhenko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Morgun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Mattar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Rampim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G.F., Camano L.,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DeLima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M.G. Associations between cytokine gene polymorphisms and recurrent pregnancy loss. 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2003, Vol. 58, no. 1, pp. 69–77. </w:t>
            </w:r>
          </w:p>
        </w:tc>
        <w:tc>
          <w:tcPr>
            <w:tcW w:w="5103" w:type="dxa"/>
          </w:tcPr>
          <w:p w:rsidR="00474D68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10.1016/S0165-0378(02)00059-1.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474D68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Finan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R.R., Al-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Irhayim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Z., Mustafa F.E., Al-Zaman, Mohammed F.A., Al-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Khateeb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G.M., Madan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Issa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Almawi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W.Y. Tumor necrosis factor-alpha polymorphisms in women with idiopathic recurrent miscarriage.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2010, Vol. 84, no. 2, pp. 186-192. </w:t>
            </w:r>
          </w:p>
        </w:tc>
        <w:tc>
          <w:tcPr>
            <w:tcW w:w="5103" w:type="dxa"/>
          </w:tcPr>
          <w:p w:rsidR="00474D68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10.1016/j.jri.2009.12.005.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Gupta R., Prakash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Parveen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F., Agrawal S. Association of CTLA-4 and TNF-</w:t>
            </w:r>
            <w:r w:rsidRPr="00EE7189">
              <w:rPr>
                <w:rFonts w:ascii="Times New Roman" w:hAnsi="Times New Roman"/>
                <w:sz w:val="28"/>
                <w:szCs w:val="28"/>
              </w:rPr>
              <w:t>α</w:t>
            </w: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polymorphism with recurrent miscarriage among North Indian women. Cytokine, 2012, Vol. 60, no. 2, pp. 456-462.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10.1016/j.cyto.2012.05.018.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Kamali-Sarvestani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Zolghadri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Gharesi-Fard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B., Sarvari J. Cytokine gene polymorphisms and susceptibility to recurrent pregnancy loss in Iranian women.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5, Vol. 65, no. 2, pp. 171-178.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/15811521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Kim J.O., Lee W.S., Lee B.E., Jeon Y.J., Kim Y.R., Jung S.H., Chang S.W., Kim N.K. Interleukin-1beta -511T&gt;C genetic variant contributes to recurrent pregnancy loss risk and peripheral natural killer cell proportion.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Fertil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Steril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2014, Vol. 102, no. 1, pp. 206-212.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10.1016/j.fertnstert.2014.03.037.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Liu Ch., Jing W.,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Sirui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Zh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Binbin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 Association between -238 but not -308 polymorphism of Tumor necrosis factor alpha (TNF-alpha) and unexplained recurrent spontaneous abortion (URSA) in Chinese population.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Biol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Endocrinol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2010, Vol. 8, pp. 114.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 10.1186/1477-7827-8-114.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 J., Zhang X., He G., Yang Ch. Association between TNF, IL1B, IL6, IL10 and IFNG polymorphisms and recurrent miscarriage: a case control study. Reproductive Biology and Endocrinology, 2017, Vol. 15, no. 1, pp. 83.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10.1186/s12958-017-0300-3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CB3187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Ma X., Xu L.J., Wang J., Xian M.M., Liu M. Association of IL-1</w:t>
            </w:r>
            <w:r w:rsidRPr="00EE7189">
              <w:rPr>
                <w:rFonts w:ascii="Times New Roman" w:hAnsi="Times New Roman"/>
                <w:sz w:val="28"/>
                <w:szCs w:val="28"/>
              </w:rPr>
              <w:t>β</w:t>
            </w: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IL-6 gene polymorphisms with recurrent spontaneous abortion in a Chinese Han population.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Int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Immunogenet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2012, Vol. 39, no. 1, pp. 15-19. </w:t>
            </w:r>
          </w:p>
        </w:tc>
        <w:tc>
          <w:tcPr>
            <w:tcW w:w="5103" w:type="dxa"/>
          </w:tcPr>
          <w:p w:rsidR="00474D68" w:rsidRPr="00474D68" w:rsidRDefault="00474D68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CB31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10.1111/j.1744-313X.2011.01049.x.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Mor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 Inflammation and pregnancy: the role of the immune system at the </w:t>
            </w: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implantation site. Ann. N. Y. Acad.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Sci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, 2011, Vol. 1221, no. 1, pp. 80-87.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/21401634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Najafi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Hadinedoushan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Eslami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Aflatoonian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 Association of IL-17A and IL-17 F gene polymorphisms with recurrent pregnancy loss in Iranian women. J Assist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Genet, 2014, Vol. 31, no. 11, pp. 1491-1496.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10.1007/s10815-014-0294-0.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Ostojić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Volk M.,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Medica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Kapović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Meden-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Vrtovec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Peterlin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B. Polymorphisms in the interleukin-12/18 genes and recurrent spontaneous abortion. Am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, 2007, Vol. 58, no. 5, pp. 403-408.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/17922692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Parveen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F., Shukla A., Agarwal S. Cytokine gene polymorphisms in northern Indian women with recurrent miscarriages.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Fertil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Steril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2013, Vol. 99, no. 2, pp. 433-440.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10.1016/j.fertnstert.2012.09.025.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Prigoshin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Tambutti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Larriba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Gogorza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Testa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 Cytokine gene polymorphisms in recurrent pregnancy loss of unknown cause. Am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2004, Vol. 52, no.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1, pp. 36-41.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/15214940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19462A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Robertson S.A., Chin P.</w:t>
            </w:r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Y., </w:t>
            </w:r>
            <w:proofErr w:type="spellStart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Femia</w:t>
            </w:r>
            <w:proofErr w:type="spellEnd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J.G., </w:t>
            </w:r>
            <w:proofErr w:type="spellStart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Browna</w:t>
            </w:r>
            <w:proofErr w:type="spellEnd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H.M. </w:t>
            </w:r>
            <w:proofErr w:type="spellStart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>Embryotoxic</w:t>
            </w:r>
            <w:proofErr w:type="spellEnd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cytokines —Potential roles i</w:t>
            </w:r>
            <w:bookmarkStart w:id="0" w:name="_GoBack"/>
            <w:bookmarkEnd w:id="0"/>
            <w:r w:rsidR="00474D68"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embryo loss and fetal programming. Journal of Reproductive Immunology, 2018, Vol. 125, pp. 80-88.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doi.org/10.1016/j.jri.2017.12.003.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Saijo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F., Yamada 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Konodo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T., Kato E.H.,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Kataoka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Shimada S.,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Morikawa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Minakami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Kishi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 Interleukin-4 gene polymorphism is not involved in the risk of recurrent pregnancy loss. Am J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Reprod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, 200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4, Vol. 52, no. 2, pp. 143-146.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/15274656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Wang X.,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Guo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Li S., Gong J., Song W., Wang H., Liu S. The Role of the IL-12 polymorphism rs3212227 in preeclampsia in Chinese Han Women.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Clin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Exp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Hypertens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2016, Vol. 38, no. 4, pp. 388-392.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10.3109/10641963.2015.1131289.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Wang Z.C.,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Yunis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E.J., De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los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Santos M.J., Xiao L., Anderson D.J., Hill J.A. T helper 1-type immunity to trophoblast antigens in women with a history of recurrent pregnancy loss is associated with polymorphism of the IL1B promoter region. Genes and Imm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unity, 2002, Vol. 3, pp. 38–42.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/11857060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Warning J.C. A balancing act: mechanisms by which the fetus avoids rejection by the maternal immune system. Reproduction, 2011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Vol. 141, no. 6, pp. 715-724.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/21389077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Yoichiro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Harumichi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Shinobu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S., Susumu N. Functional specialization of </w:t>
            </w: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interleukin-17 family members. Immunity,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1, Vol. 34, no. 2, pp. 149-162.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/21349428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095A69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Zammiti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Mtiraoui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Finan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R.R.,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Almawi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W.Y.,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Mahjoub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 Tumor necrosis factor alpha and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lymphotoxin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alpha haplotypes in idiopathic recurrent pregnancy loss.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Fertil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Steril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2009, Vol. 91, no. 5, pp. 1903-1908.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10.1016/j.fertnstert.2008.01.090.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095A69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Zhang M., Xu J.,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Bao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Niu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W., Wang L., Du L., Zhang N., Sun Y. Association between genetic polymorphisms in interleukin genes and recurrent pregnancy loss - a systematic review and meta-analysis.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PLoS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One, 2017, Vol. 12, no. 1. 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095A69">
              <w:rPr>
                <w:rFonts w:ascii="Times New Roman" w:hAnsi="Times New Roman"/>
                <w:sz w:val="28"/>
                <w:szCs w:val="28"/>
                <w:lang w:val="en-US"/>
              </w:rPr>
              <w:t>:  10.1371/journal.pone.0169891.</w:t>
            </w:r>
          </w:p>
        </w:tc>
      </w:tr>
      <w:tr w:rsidR="00474D68" w:rsidRPr="00CB3187" w:rsidTr="000A4B62">
        <w:tc>
          <w:tcPr>
            <w:tcW w:w="704" w:type="dxa"/>
          </w:tcPr>
          <w:p w:rsidR="00474D68" w:rsidRPr="00CB3187" w:rsidRDefault="00474D68" w:rsidP="005012BB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474D68" w:rsidRPr="00EE7189" w:rsidRDefault="00474D68" w:rsidP="005012BB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Zidan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H.E.,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Rezk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Alnemr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Moniem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M.I. Interleukin-17 and leptin genes polymorphisms and their levels in relation to recurrent pregnancy loss in Egyptian females. </w:t>
            </w:r>
            <w:proofErr w:type="spellStart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Immunogenetics</w:t>
            </w:r>
            <w:proofErr w:type="spellEnd"/>
            <w:r w:rsidRPr="00EE7189">
              <w:rPr>
                <w:rFonts w:ascii="Times New Roman" w:hAnsi="Times New Roman"/>
                <w:sz w:val="28"/>
                <w:szCs w:val="28"/>
                <w:lang w:val="en-US"/>
              </w:rPr>
              <w:t>, 2015, Vol. 67, no. 11-12, pp. 665-673.</w:t>
            </w:r>
          </w:p>
        </w:tc>
        <w:tc>
          <w:tcPr>
            <w:tcW w:w="5103" w:type="dxa"/>
          </w:tcPr>
          <w:p w:rsidR="00474D68" w:rsidRPr="00474D68" w:rsidRDefault="00474D68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4" w:type="dxa"/>
          </w:tcPr>
          <w:p w:rsidR="00474D68" w:rsidRPr="00095A69" w:rsidRDefault="00095A69" w:rsidP="0050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ncbi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nlm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nih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pubmed</w:t>
            </w:r>
            <w:proofErr w:type="spellEnd"/>
            <w:r w:rsidRPr="00095A69">
              <w:rPr>
                <w:rFonts w:ascii="Times New Roman" w:hAnsi="Times New Roman" w:cs="Times New Roman"/>
                <w:sz w:val="28"/>
                <w:szCs w:val="28"/>
              </w:rPr>
              <w:t>/26467330</w:t>
            </w:r>
          </w:p>
        </w:tc>
      </w:tr>
    </w:tbl>
    <w:p w:rsidR="00474D68" w:rsidRPr="00962A8C" w:rsidRDefault="00474D68" w:rsidP="00474D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4D68" w:rsidRPr="00962A8C" w:rsidSect="00CB31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B04"/>
    <w:multiLevelType w:val="hybridMultilevel"/>
    <w:tmpl w:val="DC007F98"/>
    <w:lvl w:ilvl="0" w:tplc="FC8AC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6FCB"/>
    <w:multiLevelType w:val="hybridMultilevel"/>
    <w:tmpl w:val="65FE4AE0"/>
    <w:lvl w:ilvl="0" w:tplc="FC8AC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BD"/>
    <w:rsid w:val="00095A69"/>
    <w:rsid w:val="000A4B62"/>
    <w:rsid w:val="000D6336"/>
    <w:rsid w:val="0019462A"/>
    <w:rsid w:val="00377598"/>
    <w:rsid w:val="003E7FE1"/>
    <w:rsid w:val="00474D68"/>
    <w:rsid w:val="009411FD"/>
    <w:rsid w:val="00962A8C"/>
    <w:rsid w:val="00A66265"/>
    <w:rsid w:val="00CB3187"/>
    <w:rsid w:val="00EA41BD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731B"/>
  <w15:chartTrackingRefBased/>
  <w15:docId w15:val="{890265A1-914D-43E7-9186-547F9D7C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18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4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1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journal/n/meditsinskaya-immunolog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2019-03-09T13:04:00Z</dcterms:created>
  <dcterms:modified xsi:type="dcterms:W3CDTF">2019-03-20T14:21:00Z</dcterms:modified>
</cp:coreProperties>
</file>